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auGrille41"/>
        <w:tblpPr w:leftFromText="142" w:rightFromText="142" w:horzAnchor="margin" w:tblpXSpec="center" w:tblpYSpec="top"/>
        <w:tblW w:w="14222" w:type="dxa"/>
        <w:tblLook w:val="04A0" w:firstRow="1" w:lastRow="0" w:firstColumn="1" w:lastColumn="0" w:noHBand="0" w:noVBand="1"/>
      </w:tblPr>
      <w:tblGrid>
        <w:gridCol w:w="1467"/>
        <w:gridCol w:w="1485"/>
        <w:gridCol w:w="1782"/>
        <w:gridCol w:w="1689"/>
        <w:gridCol w:w="1692"/>
        <w:gridCol w:w="1934"/>
        <w:gridCol w:w="1955"/>
        <w:gridCol w:w="2218"/>
      </w:tblGrid>
      <w:tr w:rsidR="008714C3" w:rsidRPr="008714C3" w14:paraId="131E6430" w14:textId="77777777" w:rsidTr="00CF0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tcPr>
          <w:p w14:paraId="6EB93AE8" w14:textId="77777777" w:rsidR="007E45AA" w:rsidRDefault="00823EAA" w:rsidP="00D0365C">
            <w:pPr>
              <w:rPr>
                <w:rFonts w:cstheme="minorHAnsi"/>
                <w:b w:val="0"/>
                <w:bCs w:val="0"/>
                <w:sz w:val="16"/>
                <w:szCs w:val="16"/>
                <w:lang w:val="en-GB"/>
              </w:rPr>
            </w:pPr>
            <w:r>
              <w:rPr>
                <w:rFonts w:cstheme="minorHAnsi"/>
                <w:sz w:val="16"/>
                <w:szCs w:val="16"/>
                <w:lang w:val="en-GB"/>
              </w:rPr>
              <w:t>Author,</w:t>
            </w:r>
          </w:p>
          <w:p w14:paraId="364A5F92" w14:textId="77777777" w:rsidR="00823EAA" w:rsidRDefault="00823EAA" w:rsidP="00D0365C">
            <w:pPr>
              <w:rPr>
                <w:rFonts w:cstheme="minorHAnsi"/>
                <w:b w:val="0"/>
                <w:bCs w:val="0"/>
                <w:sz w:val="16"/>
                <w:szCs w:val="16"/>
                <w:lang w:val="en-GB"/>
              </w:rPr>
            </w:pPr>
            <w:r>
              <w:rPr>
                <w:rFonts w:cstheme="minorHAnsi"/>
                <w:sz w:val="16"/>
                <w:szCs w:val="16"/>
                <w:lang w:val="en-GB"/>
              </w:rPr>
              <w:t>Year of publication</w:t>
            </w:r>
          </w:p>
          <w:p w14:paraId="5D709E81" w14:textId="08A9E47C" w:rsidR="00823EAA" w:rsidRPr="008714C3" w:rsidRDefault="00823EAA" w:rsidP="00D0365C">
            <w:pPr>
              <w:rPr>
                <w:rFonts w:cstheme="minorHAnsi"/>
                <w:b w:val="0"/>
                <w:bCs w:val="0"/>
                <w:sz w:val="16"/>
                <w:szCs w:val="16"/>
                <w:lang w:val="en-GB"/>
              </w:rPr>
            </w:pPr>
            <w:r>
              <w:rPr>
                <w:rFonts w:cstheme="minorHAnsi"/>
                <w:sz w:val="16"/>
                <w:szCs w:val="16"/>
                <w:lang w:val="en-GB"/>
              </w:rPr>
              <w:t>Country</w:t>
            </w:r>
          </w:p>
        </w:tc>
        <w:tc>
          <w:tcPr>
            <w:tcW w:w="1485" w:type="dxa"/>
          </w:tcPr>
          <w:p w14:paraId="447DA423" w14:textId="77777777" w:rsidR="007E45AA" w:rsidRPr="008714C3" w:rsidRDefault="007E45AA" w:rsidP="00D0365C">
            <w:pPr>
              <w:cnfStyle w:val="100000000000" w:firstRow="1" w:lastRow="0" w:firstColumn="0" w:lastColumn="0" w:oddVBand="0" w:evenVBand="0" w:oddHBand="0" w:evenHBand="0" w:firstRowFirstColumn="0" w:firstRowLastColumn="0" w:lastRowFirstColumn="0" w:lastRowLastColumn="0"/>
              <w:rPr>
                <w:rFonts w:cstheme="minorHAnsi"/>
                <w:b w:val="0"/>
                <w:bCs w:val="0"/>
                <w:sz w:val="16"/>
                <w:szCs w:val="16"/>
                <w:lang w:val="en-GB"/>
              </w:rPr>
            </w:pPr>
            <w:r w:rsidRPr="008714C3">
              <w:rPr>
                <w:rFonts w:cstheme="minorHAnsi"/>
                <w:sz w:val="16"/>
                <w:szCs w:val="16"/>
                <w:lang w:val="en-GB"/>
              </w:rPr>
              <w:t>Study design</w:t>
            </w:r>
          </w:p>
        </w:tc>
        <w:tc>
          <w:tcPr>
            <w:tcW w:w="1782" w:type="dxa"/>
          </w:tcPr>
          <w:p w14:paraId="062C67AF" w14:textId="0DA855B3" w:rsidR="007E45AA" w:rsidRPr="008714C3" w:rsidRDefault="00B128A1" w:rsidP="00D0365C">
            <w:pPr>
              <w:cnfStyle w:val="100000000000" w:firstRow="1" w:lastRow="0" w:firstColumn="0" w:lastColumn="0" w:oddVBand="0" w:evenVBand="0" w:oddHBand="0" w:evenHBand="0" w:firstRowFirstColumn="0" w:firstRowLastColumn="0" w:lastRowFirstColumn="0" w:lastRowLastColumn="0"/>
              <w:rPr>
                <w:rFonts w:cstheme="minorHAnsi"/>
                <w:b w:val="0"/>
                <w:bCs w:val="0"/>
                <w:sz w:val="16"/>
                <w:szCs w:val="16"/>
                <w:lang w:val="en-GB"/>
              </w:rPr>
            </w:pPr>
            <w:r w:rsidRPr="008714C3">
              <w:rPr>
                <w:rFonts w:cstheme="minorHAnsi"/>
                <w:sz w:val="16"/>
                <w:szCs w:val="16"/>
                <w:lang w:val="en-GB"/>
              </w:rPr>
              <w:t>Aim</w:t>
            </w:r>
          </w:p>
        </w:tc>
        <w:tc>
          <w:tcPr>
            <w:tcW w:w="1689" w:type="dxa"/>
          </w:tcPr>
          <w:p w14:paraId="70924CE2" w14:textId="77777777" w:rsidR="007E45AA" w:rsidRPr="008714C3" w:rsidRDefault="007E45AA" w:rsidP="00D0365C">
            <w:pPr>
              <w:cnfStyle w:val="100000000000" w:firstRow="1" w:lastRow="0" w:firstColumn="0" w:lastColumn="0" w:oddVBand="0" w:evenVBand="0" w:oddHBand="0" w:evenHBand="0" w:firstRowFirstColumn="0" w:firstRowLastColumn="0" w:lastRowFirstColumn="0" w:lastRowLastColumn="0"/>
              <w:rPr>
                <w:rFonts w:cstheme="minorHAnsi"/>
                <w:b w:val="0"/>
                <w:bCs w:val="0"/>
                <w:sz w:val="16"/>
                <w:szCs w:val="16"/>
                <w:lang w:val="en-GB"/>
              </w:rPr>
            </w:pPr>
            <w:r w:rsidRPr="008714C3">
              <w:rPr>
                <w:rFonts w:cstheme="minorHAnsi"/>
                <w:sz w:val="16"/>
                <w:szCs w:val="16"/>
                <w:lang w:val="en-GB"/>
              </w:rPr>
              <w:t>Population</w:t>
            </w:r>
          </w:p>
        </w:tc>
        <w:tc>
          <w:tcPr>
            <w:tcW w:w="1692" w:type="dxa"/>
          </w:tcPr>
          <w:p w14:paraId="379C6FAA" w14:textId="7414BF67" w:rsidR="007E45AA" w:rsidRPr="008714C3" w:rsidRDefault="00142D5D" w:rsidP="00D0365C">
            <w:pPr>
              <w:cnfStyle w:val="100000000000" w:firstRow="1" w:lastRow="0" w:firstColumn="0" w:lastColumn="0" w:oddVBand="0" w:evenVBand="0" w:oddHBand="0" w:evenHBand="0" w:firstRowFirstColumn="0" w:firstRowLastColumn="0" w:lastRowFirstColumn="0" w:lastRowLastColumn="0"/>
              <w:rPr>
                <w:rFonts w:cstheme="minorHAnsi"/>
                <w:bCs w:val="0"/>
                <w:sz w:val="16"/>
                <w:szCs w:val="16"/>
                <w:lang w:val="en-GB"/>
              </w:rPr>
            </w:pPr>
            <w:r w:rsidRPr="008714C3">
              <w:rPr>
                <w:rFonts w:cstheme="minorHAnsi"/>
                <w:sz w:val="16"/>
                <w:szCs w:val="16"/>
                <w:lang w:val="en-GB"/>
              </w:rPr>
              <w:t>Emergency C</w:t>
            </w:r>
            <w:r w:rsidR="007E45AA" w:rsidRPr="008714C3">
              <w:rPr>
                <w:rFonts w:cstheme="minorHAnsi"/>
                <w:sz w:val="16"/>
                <w:szCs w:val="16"/>
                <w:lang w:val="en-GB"/>
              </w:rPr>
              <w:t>are Indicators</w:t>
            </w:r>
          </w:p>
        </w:tc>
        <w:tc>
          <w:tcPr>
            <w:tcW w:w="1934" w:type="dxa"/>
          </w:tcPr>
          <w:p w14:paraId="0774A673" w14:textId="2FD59825" w:rsidR="007E45AA" w:rsidRPr="008714C3" w:rsidRDefault="007E45AA" w:rsidP="00D0365C">
            <w:pPr>
              <w:cnfStyle w:val="100000000000" w:firstRow="1" w:lastRow="0" w:firstColumn="0" w:lastColumn="0" w:oddVBand="0" w:evenVBand="0" w:oddHBand="0" w:evenHBand="0" w:firstRowFirstColumn="0" w:firstRowLastColumn="0" w:lastRowFirstColumn="0" w:lastRowLastColumn="0"/>
              <w:rPr>
                <w:rFonts w:cstheme="minorHAnsi"/>
                <w:bCs w:val="0"/>
                <w:sz w:val="16"/>
                <w:szCs w:val="16"/>
                <w:lang w:val="en-GB"/>
              </w:rPr>
            </w:pPr>
            <w:r w:rsidRPr="008714C3">
              <w:rPr>
                <w:rFonts w:cstheme="minorHAnsi"/>
                <w:sz w:val="16"/>
                <w:szCs w:val="16"/>
                <w:lang w:val="en-GB"/>
              </w:rPr>
              <w:t>Socio-economic Determinants of Health (S</w:t>
            </w:r>
            <w:r w:rsidR="000C4D3E" w:rsidRPr="008714C3">
              <w:rPr>
                <w:rFonts w:cstheme="minorHAnsi"/>
                <w:sz w:val="16"/>
                <w:szCs w:val="16"/>
                <w:lang w:val="en-GB"/>
              </w:rPr>
              <w:t>E</w:t>
            </w:r>
            <w:r w:rsidRPr="008714C3">
              <w:rPr>
                <w:rFonts w:cstheme="minorHAnsi"/>
                <w:sz w:val="16"/>
                <w:szCs w:val="16"/>
                <w:lang w:val="en-GB"/>
              </w:rPr>
              <w:t>DH)</w:t>
            </w:r>
          </w:p>
        </w:tc>
        <w:tc>
          <w:tcPr>
            <w:tcW w:w="1955" w:type="dxa"/>
          </w:tcPr>
          <w:p w14:paraId="5F9ACD7C" w14:textId="356F123A" w:rsidR="007E45AA" w:rsidRPr="008714C3" w:rsidRDefault="007E45AA" w:rsidP="00D0365C">
            <w:pPr>
              <w:cnfStyle w:val="100000000000" w:firstRow="1"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Statistics</w:t>
            </w:r>
          </w:p>
        </w:tc>
        <w:tc>
          <w:tcPr>
            <w:tcW w:w="2218" w:type="dxa"/>
          </w:tcPr>
          <w:p w14:paraId="3C047C39" w14:textId="0DA3CA76" w:rsidR="007E45AA" w:rsidRPr="008714C3" w:rsidRDefault="007E45AA" w:rsidP="00D0365C">
            <w:pPr>
              <w:cnfStyle w:val="100000000000" w:firstRow="1" w:lastRow="0" w:firstColumn="0" w:lastColumn="0" w:oddVBand="0" w:evenVBand="0" w:oddHBand="0" w:evenHBand="0" w:firstRowFirstColumn="0" w:firstRowLastColumn="0" w:lastRowFirstColumn="0" w:lastRowLastColumn="0"/>
              <w:rPr>
                <w:rFonts w:cstheme="minorHAnsi"/>
                <w:b w:val="0"/>
                <w:bCs w:val="0"/>
                <w:sz w:val="16"/>
                <w:szCs w:val="16"/>
                <w:lang w:val="en-GB"/>
              </w:rPr>
            </w:pPr>
            <w:r w:rsidRPr="008714C3">
              <w:rPr>
                <w:rFonts w:cstheme="minorHAnsi"/>
                <w:sz w:val="16"/>
                <w:szCs w:val="16"/>
                <w:lang w:val="en-GB"/>
              </w:rPr>
              <w:t xml:space="preserve"> Key Conclusion</w:t>
            </w:r>
          </w:p>
        </w:tc>
      </w:tr>
      <w:tr w:rsidR="00D62F18" w:rsidRPr="008714C3" w14:paraId="7CC07BEC" w14:textId="77777777" w:rsidTr="00CF08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213DBC8A" w14:textId="5A86BCFB" w:rsidR="00D62F18" w:rsidRPr="008714C3" w:rsidRDefault="00802901" w:rsidP="00194C26">
            <w:pPr>
              <w:tabs>
                <w:tab w:val="left" w:pos="2752"/>
              </w:tabs>
              <w:rPr>
                <w:rFonts w:cstheme="minorHAnsi"/>
                <w:sz w:val="16"/>
                <w:szCs w:val="16"/>
                <w:lang w:val="en-GB"/>
              </w:rPr>
            </w:pPr>
            <w:r w:rsidRPr="008714C3">
              <w:rPr>
                <w:rFonts w:cstheme="minorHAnsi"/>
                <w:sz w:val="16"/>
                <w:szCs w:val="16"/>
                <w:lang w:val="en-GB"/>
              </w:rPr>
              <w:t>INSURANCE STATUS</w:t>
            </w:r>
          </w:p>
          <w:p w14:paraId="271C1E3B" w14:textId="7AFAB7F0" w:rsidR="00656610" w:rsidRPr="008714C3" w:rsidRDefault="00656610" w:rsidP="00194C26">
            <w:pPr>
              <w:tabs>
                <w:tab w:val="left" w:pos="2752"/>
              </w:tabs>
              <w:rPr>
                <w:rFonts w:cstheme="minorHAnsi"/>
                <w:sz w:val="16"/>
                <w:szCs w:val="16"/>
                <w:lang w:val="en-GB"/>
              </w:rPr>
            </w:pPr>
          </w:p>
        </w:tc>
      </w:tr>
      <w:tr w:rsidR="008714C3" w:rsidRPr="00A7168F" w14:paraId="4F558A24"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604F769B" w14:textId="77777777" w:rsidR="00657CE3" w:rsidRPr="00F03413" w:rsidRDefault="00657CE3" w:rsidP="00657CE3">
            <w:pPr>
              <w:rPr>
                <w:rFonts w:cstheme="minorHAnsi"/>
                <w:sz w:val="16"/>
                <w:szCs w:val="16"/>
                <w:lang w:val="de-CH"/>
              </w:rPr>
            </w:pPr>
            <w:r w:rsidRPr="00F03413">
              <w:rPr>
                <w:rFonts w:cstheme="minorHAnsi"/>
                <w:sz w:val="16"/>
                <w:szCs w:val="16"/>
                <w:lang w:val="de-CH"/>
              </w:rPr>
              <w:t>Berlin, C., et al.</w:t>
            </w:r>
          </w:p>
          <w:p w14:paraId="6386076D" w14:textId="77777777" w:rsidR="00657CE3" w:rsidRPr="00F03413" w:rsidRDefault="00657CE3" w:rsidP="00657CE3">
            <w:pPr>
              <w:rPr>
                <w:rFonts w:cstheme="minorHAnsi"/>
                <w:sz w:val="16"/>
                <w:szCs w:val="16"/>
                <w:lang w:val="de-CH"/>
              </w:rPr>
            </w:pPr>
            <w:r w:rsidRPr="00F03413">
              <w:rPr>
                <w:rFonts w:cstheme="minorHAnsi"/>
                <w:sz w:val="16"/>
                <w:szCs w:val="16"/>
                <w:lang w:val="de-CH"/>
              </w:rPr>
              <w:t>2016</w:t>
            </w:r>
          </w:p>
          <w:p w14:paraId="27D7C8C0" w14:textId="77777777" w:rsidR="00657CE3" w:rsidRPr="00F03413" w:rsidRDefault="00657CE3" w:rsidP="00657CE3">
            <w:pPr>
              <w:rPr>
                <w:rFonts w:cstheme="minorHAnsi"/>
                <w:sz w:val="16"/>
                <w:szCs w:val="16"/>
                <w:lang w:val="de-CH"/>
              </w:rPr>
            </w:pPr>
            <w:proofErr w:type="spellStart"/>
            <w:r w:rsidRPr="00F03413">
              <w:rPr>
                <w:rFonts w:cstheme="minorHAnsi"/>
                <w:sz w:val="16"/>
                <w:szCs w:val="16"/>
                <w:lang w:val="de-CH"/>
              </w:rPr>
              <w:t>Switzerland</w:t>
            </w:r>
            <w:proofErr w:type="spellEnd"/>
          </w:p>
        </w:tc>
        <w:tc>
          <w:tcPr>
            <w:tcW w:w="1485" w:type="dxa"/>
            <w:shd w:val="clear" w:color="auto" w:fill="D9D9D9" w:themeFill="background1" w:themeFillShade="D9"/>
          </w:tcPr>
          <w:p w14:paraId="1C3D33A9"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Nation-wide cross-sectional study</w:t>
            </w:r>
          </w:p>
        </w:tc>
        <w:tc>
          <w:tcPr>
            <w:tcW w:w="1782" w:type="dxa"/>
            <w:shd w:val="clear" w:color="auto" w:fill="D9D9D9" w:themeFill="background1" w:themeFillShade="D9"/>
          </w:tcPr>
          <w:p w14:paraId="074B3685" w14:textId="6C85808E"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color w:val="000000"/>
                <w:sz w:val="16"/>
                <w:szCs w:val="16"/>
                <w:lang w:val="en-GB"/>
              </w:rPr>
              <w:t>To determine if patient characteristics affected the rate of revascularization in acute STEMI patients.</w:t>
            </w:r>
          </w:p>
        </w:tc>
        <w:tc>
          <w:tcPr>
            <w:tcW w:w="1689" w:type="dxa"/>
            <w:shd w:val="clear" w:color="auto" w:fill="D9D9D9" w:themeFill="background1" w:themeFillShade="D9"/>
          </w:tcPr>
          <w:p w14:paraId="6B7743B0"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Patients with acute ST-Segment elevation myocardial Infarction (n=9,696)</w:t>
            </w:r>
          </w:p>
        </w:tc>
        <w:tc>
          <w:tcPr>
            <w:tcW w:w="1692" w:type="dxa"/>
            <w:shd w:val="clear" w:color="auto" w:fill="D9D9D9" w:themeFill="background1" w:themeFillShade="D9"/>
          </w:tcPr>
          <w:p w14:paraId="75E3217C" w14:textId="639F0C0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Specific procedures</w:t>
            </w:r>
          </w:p>
          <w:p w14:paraId="596C99B1" w14:textId="0F90E240" w:rsidR="00657CE3" w:rsidRPr="008714C3" w:rsidRDefault="00657CE3" w:rsidP="00F0341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Revascularization rate </w:t>
            </w:r>
          </w:p>
        </w:tc>
        <w:tc>
          <w:tcPr>
            <w:tcW w:w="1934" w:type="dxa"/>
            <w:shd w:val="clear" w:color="auto" w:fill="D9D9D9" w:themeFill="background1" w:themeFillShade="D9"/>
          </w:tcPr>
          <w:p w14:paraId="0F5D7DD0"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Insurance status</w:t>
            </w:r>
          </w:p>
          <w:p w14:paraId="5D2F1CD9" w14:textId="02881F9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public)</w:t>
            </w:r>
          </w:p>
          <w:p w14:paraId="7372A365" w14:textId="50308E5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Half Private</w:t>
            </w:r>
          </w:p>
          <w:p w14:paraId="0FF34F7B" w14:textId="00FAFD0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Private</w:t>
            </w:r>
          </w:p>
        </w:tc>
        <w:tc>
          <w:tcPr>
            <w:tcW w:w="1955" w:type="dxa"/>
            <w:shd w:val="clear" w:color="auto" w:fill="D9D9D9" w:themeFill="background1" w:themeFillShade="D9"/>
          </w:tcPr>
          <w:p w14:paraId="0ADBF05C" w14:textId="785DBB1B"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 xml:space="preserve">RP (relative </w:t>
            </w:r>
            <w:r w:rsidR="008328CC" w:rsidRPr="00A7168F">
              <w:rPr>
                <w:rFonts w:cstheme="minorHAnsi"/>
                <w:b/>
                <w:sz w:val="16"/>
                <w:szCs w:val="16"/>
              </w:rPr>
              <w:t>proportion</w:t>
            </w:r>
            <w:proofErr w:type="gramStart"/>
            <w:r w:rsidRPr="00A7168F">
              <w:rPr>
                <w:rFonts w:cstheme="minorHAnsi"/>
                <w:b/>
                <w:sz w:val="16"/>
                <w:szCs w:val="16"/>
              </w:rPr>
              <w:t>):</w:t>
            </w:r>
            <w:proofErr w:type="gramEnd"/>
          </w:p>
          <w:p w14:paraId="32A0A734" w14:textId="4EEA308A"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a. 1.05 (95% CI 0.98-1.13)</w:t>
            </w:r>
          </w:p>
          <w:p w14:paraId="583B4F0E" w14:textId="1DB6A63E"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1.06 (95% CI 0.96-1.17)</w:t>
            </w:r>
          </w:p>
          <w:p w14:paraId="1254A5B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p>
        </w:tc>
        <w:tc>
          <w:tcPr>
            <w:tcW w:w="2218" w:type="dxa"/>
            <w:shd w:val="clear" w:color="auto" w:fill="D9D9D9" w:themeFill="background1" w:themeFillShade="D9"/>
          </w:tcPr>
          <w:p w14:paraId="46CA0603" w14:textId="28F35C47"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No association </w:t>
            </w:r>
            <w:r w:rsidR="00BB12BD" w:rsidRPr="008714C3">
              <w:rPr>
                <w:rFonts w:cstheme="minorHAnsi"/>
                <w:sz w:val="16"/>
                <w:szCs w:val="16"/>
                <w:lang w:val="en-GB"/>
              </w:rPr>
              <w:t xml:space="preserve">was </w:t>
            </w:r>
            <w:r w:rsidRPr="008714C3">
              <w:rPr>
                <w:rFonts w:cstheme="minorHAnsi"/>
                <w:sz w:val="16"/>
                <w:szCs w:val="16"/>
                <w:lang w:val="en-GB"/>
              </w:rPr>
              <w:t>found between insurance status and revascularization rate.</w:t>
            </w:r>
            <w:r w:rsidR="00F72100" w:rsidRPr="008714C3" w:rsidDel="00F72100">
              <w:rPr>
                <w:rFonts w:cstheme="minorHAnsi"/>
                <w:sz w:val="16"/>
                <w:szCs w:val="16"/>
                <w:lang w:val="en-GB"/>
              </w:rPr>
              <w:t xml:space="preserve"> </w:t>
            </w:r>
          </w:p>
        </w:tc>
      </w:tr>
      <w:tr w:rsidR="008714C3" w:rsidRPr="00A7168F" w14:paraId="20E7F545"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1FA153E2" w14:textId="77777777" w:rsidR="00657CE3" w:rsidRPr="00F03413" w:rsidRDefault="00657CE3" w:rsidP="00657CE3">
            <w:pPr>
              <w:rPr>
                <w:rFonts w:cstheme="minorHAnsi"/>
                <w:sz w:val="16"/>
                <w:szCs w:val="16"/>
              </w:rPr>
            </w:pPr>
            <w:r w:rsidRPr="00F03413">
              <w:rPr>
                <w:rFonts w:cstheme="minorHAnsi"/>
                <w:sz w:val="16"/>
                <w:szCs w:val="16"/>
              </w:rPr>
              <w:t>Bradshaw, P. J., et al</w:t>
            </w:r>
          </w:p>
          <w:p w14:paraId="0B1BBF8D" w14:textId="77777777" w:rsidR="00657CE3" w:rsidRPr="00F03413" w:rsidRDefault="00657CE3" w:rsidP="00657CE3">
            <w:pPr>
              <w:rPr>
                <w:rFonts w:cstheme="minorHAnsi"/>
                <w:sz w:val="16"/>
                <w:szCs w:val="16"/>
              </w:rPr>
            </w:pPr>
            <w:r w:rsidRPr="00F03413">
              <w:rPr>
                <w:rFonts w:cstheme="minorHAnsi"/>
                <w:sz w:val="16"/>
                <w:szCs w:val="16"/>
              </w:rPr>
              <w:t>2015</w:t>
            </w:r>
          </w:p>
          <w:p w14:paraId="42902B69" w14:textId="77777777" w:rsidR="00657CE3" w:rsidRPr="008714C3" w:rsidRDefault="00657CE3" w:rsidP="00657CE3">
            <w:pPr>
              <w:rPr>
                <w:rFonts w:cstheme="minorHAnsi"/>
                <w:sz w:val="16"/>
                <w:szCs w:val="16"/>
                <w:lang w:val="en-GB"/>
              </w:rPr>
            </w:pPr>
            <w:r w:rsidRPr="008714C3">
              <w:rPr>
                <w:rFonts w:cstheme="minorHAnsi"/>
                <w:sz w:val="16"/>
                <w:szCs w:val="16"/>
                <w:lang w:val="en-GB"/>
              </w:rPr>
              <w:t>Australia</w:t>
            </w:r>
          </w:p>
        </w:tc>
        <w:tc>
          <w:tcPr>
            <w:tcW w:w="1485" w:type="dxa"/>
            <w:shd w:val="clear" w:color="auto" w:fill="D9D9D9" w:themeFill="background1" w:themeFillShade="D9"/>
          </w:tcPr>
          <w:p w14:paraId="2FDE34E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Population-based cohort study</w:t>
            </w:r>
          </w:p>
        </w:tc>
        <w:tc>
          <w:tcPr>
            <w:tcW w:w="1782" w:type="dxa"/>
            <w:shd w:val="clear" w:color="auto" w:fill="D9D9D9" w:themeFill="background1" w:themeFillShade="D9"/>
          </w:tcPr>
          <w:p w14:paraId="7AA09958" w14:textId="52EA4DC0" w:rsidR="00657CE3" w:rsidRPr="008714C3" w:rsidRDefault="00657CE3" w:rsidP="00BB12BD">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color w:val="000000"/>
                <w:sz w:val="16"/>
                <w:szCs w:val="16"/>
                <w:lang w:val="en-GB"/>
              </w:rPr>
              <w:t xml:space="preserve">To determine whether quality indicator-based outcomes of </w:t>
            </w:r>
            <w:r w:rsidR="00BB12BD" w:rsidRPr="008714C3">
              <w:rPr>
                <w:color w:val="000000"/>
                <w:sz w:val="16"/>
                <w:szCs w:val="16"/>
                <w:lang w:val="en-GB"/>
              </w:rPr>
              <w:t>permanent pacemaker (</w:t>
            </w:r>
            <w:r w:rsidRPr="008714C3">
              <w:rPr>
                <w:color w:val="000000"/>
                <w:sz w:val="16"/>
                <w:szCs w:val="16"/>
                <w:lang w:val="en-GB"/>
              </w:rPr>
              <w:t>PPM</w:t>
            </w:r>
            <w:r w:rsidR="00BB12BD" w:rsidRPr="008714C3">
              <w:rPr>
                <w:color w:val="000000"/>
                <w:sz w:val="16"/>
                <w:szCs w:val="16"/>
                <w:lang w:val="en-GB"/>
              </w:rPr>
              <w:t>)</w:t>
            </w:r>
            <w:r w:rsidRPr="008714C3">
              <w:rPr>
                <w:color w:val="000000"/>
                <w:sz w:val="16"/>
                <w:szCs w:val="16"/>
                <w:lang w:val="en-GB"/>
              </w:rPr>
              <w:t xml:space="preserve"> implantation were comparable for publicly and privately </w:t>
            </w:r>
            <w:r w:rsidR="00BB12BD" w:rsidRPr="008714C3">
              <w:rPr>
                <w:color w:val="000000"/>
                <w:sz w:val="16"/>
                <w:szCs w:val="16"/>
                <w:lang w:val="en-GB"/>
              </w:rPr>
              <w:t xml:space="preserve">insured </w:t>
            </w:r>
            <w:r w:rsidRPr="008714C3">
              <w:rPr>
                <w:color w:val="000000"/>
                <w:sz w:val="16"/>
                <w:szCs w:val="16"/>
                <w:lang w:val="en-GB"/>
              </w:rPr>
              <w:t>patients</w:t>
            </w:r>
          </w:p>
        </w:tc>
        <w:tc>
          <w:tcPr>
            <w:tcW w:w="1689" w:type="dxa"/>
            <w:shd w:val="clear" w:color="auto" w:fill="D9D9D9" w:themeFill="background1" w:themeFillShade="D9"/>
          </w:tcPr>
          <w:p w14:paraId="7E27C8D7" w14:textId="30F8F004"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Adults implanted with a PPM between 1995 and 2009. (n=9,748)</w:t>
            </w:r>
          </w:p>
        </w:tc>
        <w:tc>
          <w:tcPr>
            <w:tcW w:w="1692" w:type="dxa"/>
            <w:shd w:val="clear" w:color="auto" w:fill="D9D9D9" w:themeFill="background1" w:themeFillShade="D9"/>
          </w:tcPr>
          <w:p w14:paraId="679D14B6" w14:textId="103065FC"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Specific procedures</w:t>
            </w:r>
          </w:p>
          <w:p w14:paraId="5750D451" w14:textId="2EFA227B"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 Emergency implant of PPM (%)</w:t>
            </w:r>
          </w:p>
          <w:p w14:paraId="2BC51C2F" w14:textId="61BF5FD4"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Delay to treatment</w:t>
            </w:r>
          </w:p>
          <w:p w14:paraId="05CC3C15" w14:textId="0729B2F8"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 Time to PPM implementation for emergency cases</w:t>
            </w:r>
          </w:p>
          <w:p w14:paraId="6BC0ED5B" w14:textId="103BF2E1"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3. Length of stay</w:t>
            </w:r>
            <w:r w:rsidRPr="008714C3">
              <w:rPr>
                <w:rFonts w:cstheme="minorHAnsi"/>
                <w:b/>
                <w:sz w:val="16"/>
                <w:szCs w:val="16"/>
                <w:lang w:val="en-GB"/>
              </w:rPr>
              <w:t xml:space="preserve"> (LOS) for emergency cases </w:t>
            </w:r>
            <w:r w:rsidRPr="008714C3">
              <w:rPr>
                <w:rFonts w:cstheme="minorHAnsi"/>
                <w:sz w:val="16"/>
                <w:szCs w:val="16"/>
                <w:lang w:val="en-GB"/>
              </w:rPr>
              <w:t>(≥ 2 days)</w:t>
            </w:r>
          </w:p>
        </w:tc>
        <w:tc>
          <w:tcPr>
            <w:tcW w:w="1934" w:type="dxa"/>
            <w:shd w:val="clear" w:color="auto" w:fill="D9D9D9" w:themeFill="background1" w:themeFillShade="D9"/>
          </w:tcPr>
          <w:p w14:paraId="635EA87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Insurance status</w:t>
            </w:r>
            <w:r w:rsidRPr="008714C3">
              <w:rPr>
                <w:rFonts w:cstheme="minorHAnsi"/>
                <w:b/>
                <w:sz w:val="16"/>
                <w:szCs w:val="16"/>
                <w:lang w:val="en-GB"/>
              </w:rPr>
              <w:t xml:space="preserve"> (Public vs Private)</w:t>
            </w:r>
          </w:p>
        </w:tc>
        <w:tc>
          <w:tcPr>
            <w:tcW w:w="1955" w:type="dxa"/>
            <w:shd w:val="clear" w:color="auto" w:fill="D9D9D9" w:themeFill="background1" w:themeFillShade="D9"/>
          </w:tcPr>
          <w:p w14:paraId="559E4357" w14:textId="0AC1A4B4"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1. 60% vs 33%, </w:t>
            </w:r>
            <w:r w:rsidRPr="008714C3">
              <w:rPr>
                <w:rFonts w:cstheme="minorHAnsi"/>
                <w:b/>
                <w:i/>
                <w:sz w:val="16"/>
                <w:szCs w:val="16"/>
                <w:lang w:val="en-GB"/>
              </w:rPr>
              <w:t>(p&lt;0.001)</w:t>
            </w:r>
            <w:r w:rsidRPr="008714C3">
              <w:rPr>
                <w:rFonts w:cstheme="minorHAnsi"/>
                <w:b/>
                <w:sz w:val="16"/>
                <w:szCs w:val="16"/>
                <w:lang w:val="en-GB"/>
              </w:rPr>
              <w:t xml:space="preserve">, </w:t>
            </w:r>
            <w:proofErr w:type="spellStart"/>
            <w:r w:rsidRPr="008714C3">
              <w:rPr>
                <w:rFonts w:cstheme="minorHAnsi"/>
                <w:b/>
                <w:sz w:val="16"/>
                <w:szCs w:val="16"/>
                <w:lang w:val="en-GB"/>
              </w:rPr>
              <w:t>non adjusted</w:t>
            </w:r>
            <w:proofErr w:type="spellEnd"/>
          </w:p>
          <w:p w14:paraId="50B166B1" w14:textId="1F1B036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i/>
                <w:sz w:val="16"/>
                <w:szCs w:val="16"/>
                <w:lang w:val="en-GB"/>
              </w:rPr>
            </w:pPr>
            <w:r w:rsidRPr="008714C3">
              <w:rPr>
                <w:rFonts w:cstheme="minorHAnsi"/>
                <w:b/>
                <w:sz w:val="16"/>
                <w:szCs w:val="16"/>
                <w:lang w:val="en-GB"/>
              </w:rPr>
              <w:t xml:space="preserve">2. Adjusted Odds ratio 0.89 (95% CI 0.78-1.03) </w:t>
            </w:r>
            <w:r w:rsidRPr="008714C3">
              <w:rPr>
                <w:rFonts w:cstheme="minorHAnsi"/>
                <w:b/>
                <w:i/>
                <w:sz w:val="16"/>
                <w:szCs w:val="16"/>
                <w:lang w:val="en-GB"/>
              </w:rPr>
              <w:t>(p=0.11)</w:t>
            </w:r>
          </w:p>
          <w:p w14:paraId="67A01B76" w14:textId="06BEA4FB"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i/>
                <w:sz w:val="16"/>
                <w:szCs w:val="16"/>
                <w:lang w:val="en-GB"/>
              </w:rPr>
            </w:pPr>
            <w:r w:rsidRPr="008714C3">
              <w:rPr>
                <w:rFonts w:cstheme="minorHAnsi"/>
                <w:b/>
                <w:sz w:val="16"/>
                <w:szCs w:val="16"/>
                <w:lang w:val="en-GB"/>
              </w:rPr>
              <w:t xml:space="preserve">3.  Adjusted Odds ratio 0.91 (95% CI 0.79-1.04) </w:t>
            </w:r>
            <w:r w:rsidRPr="008714C3">
              <w:rPr>
                <w:rFonts w:cstheme="minorHAnsi"/>
                <w:b/>
                <w:i/>
                <w:sz w:val="16"/>
                <w:szCs w:val="16"/>
                <w:lang w:val="en-GB"/>
              </w:rPr>
              <w:t>(p=0.17)</w:t>
            </w:r>
          </w:p>
        </w:tc>
        <w:tc>
          <w:tcPr>
            <w:tcW w:w="2218" w:type="dxa"/>
            <w:shd w:val="clear" w:color="auto" w:fill="D9D9D9" w:themeFill="background1" w:themeFillShade="D9"/>
          </w:tcPr>
          <w:p w14:paraId="54653551" w14:textId="613B8C5C"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trike/>
                <w:sz w:val="16"/>
                <w:szCs w:val="16"/>
                <w:lang w:val="en-GB"/>
              </w:rPr>
            </w:pPr>
            <w:r w:rsidRPr="008714C3">
              <w:rPr>
                <w:rFonts w:cstheme="minorHAnsi"/>
                <w:sz w:val="16"/>
                <w:szCs w:val="16"/>
                <w:lang w:val="en-GB"/>
              </w:rPr>
              <w:t>Public</w:t>
            </w:r>
            <w:r w:rsidR="00BB12BD" w:rsidRPr="008714C3">
              <w:rPr>
                <w:rFonts w:cstheme="minorHAnsi"/>
                <w:sz w:val="16"/>
                <w:szCs w:val="16"/>
                <w:lang w:val="en-GB"/>
              </w:rPr>
              <w:t>ly insured</w:t>
            </w:r>
            <w:r w:rsidRPr="008714C3">
              <w:rPr>
                <w:rFonts w:cstheme="minorHAnsi"/>
                <w:sz w:val="16"/>
                <w:szCs w:val="16"/>
                <w:lang w:val="en-GB"/>
              </w:rPr>
              <w:t xml:space="preserve"> patients are more likely to have emergency implant of </w:t>
            </w:r>
            <w:r w:rsidR="00BB12BD" w:rsidRPr="008714C3">
              <w:rPr>
                <w:rFonts w:cstheme="minorHAnsi"/>
                <w:sz w:val="16"/>
                <w:szCs w:val="16"/>
                <w:lang w:val="en-GB"/>
              </w:rPr>
              <w:t xml:space="preserve">a </w:t>
            </w:r>
            <w:r w:rsidRPr="008714C3">
              <w:rPr>
                <w:rFonts w:cstheme="minorHAnsi"/>
                <w:sz w:val="16"/>
                <w:szCs w:val="16"/>
                <w:lang w:val="en-GB"/>
              </w:rPr>
              <w:t>PPM.</w:t>
            </w:r>
          </w:p>
          <w:p w14:paraId="58968137" w14:textId="3366AFEC"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There </w:t>
            </w:r>
            <w:r w:rsidR="00BB12BD" w:rsidRPr="008714C3">
              <w:rPr>
                <w:rFonts w:cstheme="minorHAnsi"/>
                <w:sz w:val="16"/>
                <w:szCs w:val="16"/>
                <w:lang w:val="en-GB"/>
              </w:rPr>
              <w:t xml:space="preserve">were no differences identified in </w:t>
            </w:r>
            <w:r w:rsidRPr="008714C3">
              <w:rPr>
                <w:rFonts w:cstheme="minorHAnsi"/>
                <w:sz w:val="16"/>
                <w:szCs w:val="16"/>
                <w:lang w:val="en-GB"/>
              </w:rPr>
              <w:t xml:space="preserve">outcomes between publicly and privately </w:t>
            </w:r>
            <w:r w:rsidR="00BB12BD" w:rsidRPr="008714C3">
              <w:rPr>
                <w:rFonts w:cstheme="minorHAnsi"/>
                <w:sz w:val="16"/>
                <w:szCs w:val="16"/>
                <w:lang w:val="en-GB"/>
              </w:rPr>
              <w:t xml:space="preserve">insured </w:t>
            </w:r>
            <w:r w:rsidRPr="008714C3">
              <w:rPr>
                <w:rFonts w:cstheme="minorHAnsi"/>
                <w:sz w:val="16"/>
                <w:szCs w:val="16"/>
                <w:lang w:val="en-GB"/>
              </w:rPr>
              <w:t xml:space="preserve">patients. </w:t>
            </w:r>
          </w:p>
        </w:tc>
      </w:tr>
      <w:tr w:rsidR="008714C3" w:rsidRPr="00A7168F" w14:paraId="68A3F16D"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1375AAFD" w14:textId="40BD7EB3" w:rsidR="00657CE3" w:rsidRPr="008714C3" w:rsidRDefault="00657CE3" w:rsidP="00657CE3">
            <w:pPr>
              <w:rPr>
                <w:rFonts w:cstheme="minorHAnsi"/>
                <w:sz w:val="16"/>
                <w:szCs w:val="16"/>
                <w:lang w:val="en-GB"/>
              </w:rPr>
            </w:pPr>
            <w:r w:rsidRPr="008714C3">
              <w:rPr>
                <w:rFonts w:cstheme="minorHAnsi"/>
                <w:sz w:val="16"/>
                <w:szCs w:val="16"/>
                <w:lang w:val="en-GB"/>
              </w:rPr>
              <w:t>Casey, S. D. and Mumma, B. E.</w:t>
            </w:r>
          </w:p>
          <w:p w14:paraId="242D665B" w14:textId="77777777" w:rsidR="00657CE3" w:rsidRPr="008714C3" w:rsidRDefault="00657CE3" w:rsidP="00657CE3">
            <w:pPr>
              <w:rPr>
                <w:rFonts w:cstheme="minorHAnsi"/>
                <w:sz w:val="16"/>
                <w:szCs w:val="16"/>
                <w:lang w:val="en-GB"/>
              </w:rPr>
            </w:pPr>
            <w:r w:rsidRPr="008714C3">
              <w:rPr>
                <w:rFonts w:cstheme="minorHAnsi"/>
                <w:sz w:val="16"/>
                <w:szCs w:val="16"/>
                <w:lang w:val="en-GB"/>
              </w:rPr>
              <w:t>2018</w:t>
            </w:r>
          </w:p>
          <w:p w14:paraId="7CBC7E9B" w14:textId="77777777"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6652006F"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39140095" w14:textId="395A553E" w:rsidR="00657CE3" w:rsidRPr="008714C3" w:rsidRDefault="00657CE3" w:rsidP="004A7A06">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color w:val="000000"/>
                <w:sz w:val="16"/>
                <w:szCs w:val="16"/>
                <w:lang w:val="en-GB"/>
              </w:rPr>
              <w:t xml:space="preserve">To evaluate the association of patient insurance status with hospital treatments and outcomes following out-of-hospital cardiac arrest </w:t>
            </w:r>
          </w:p>
        </w:tc>
        <w:tc>
          <w:tcPr>
            <w:tcW w:w="1689" w:type="dxa"/>
            <w:shd w:val="clear" w:color="auto" w:fill="D9D9D9" w:themeFill="background1" w:themeFillShade="D9"/>
          </w:tcPr>
          <w:p w14:paraId="4F6719E3"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Adult patients with a “present on admission” diagnosis of cardiac arrest (patient admitted from the ED to an acute care hospital) (n=38,163)</w:t>
            </w:r>
          </w:p>
        </w:tc>
        <w:tc>
          <w:tcPr>
            <w:tcW w:w="1692" w:type="dxa"/>
            <w:shd w:val="clear" w:color="auto" w:fill="D9D9D9" w:themeFill="background1" w:themeFillShade="D9"/>
          </w:tcPr>
          <w:p w14:paraId="4158F76D" w14:textId="61B9B16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1. Good neurologic recovery</w:t>
            </w:r>
            <w:r w:rsidRPr="008714C3">
              <w:rPr>
                <w:rFonts w:cstheme="minorHAnsi"/>
                <w:b/>
                <w:sz w:val="16"/>
                <w:szCs w:val="16"/>
                <w:lang w:val="en-GB"/>
              </w:rPr>
              <w:t xml:space="preserve"> </w:t>
            </w:r>
          </w:p>
          <w:p w14:paraId="0D18E1E6" w14:textId="797F079C"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2. In-hospital mortality</w:t>
            </w:r>
            <w:r w:rsidRPr="008714C3">
              <w:rPr>
                <w:rFonts w:cstheme="minorHAnsi"/>
                <w:b/>
                <w:sz w:val="16"/>
                <w:szCs w:val="16"/>
                <w:lang w:val="en-GB"/>
              </w:rPr>
              <w:t xml:space="preserve"> </w:t>
            </w:r>
            <w:r w:rsidRPr="008714C3">
              <w:rPr>
                <w:rFonts w:cstheme="minorHAnsi"/>
                <w:sz w:val="16"/>
                <w:szCs w:val="16"/>
                <w:lang w:val="en-GB"/>
              </w:rPr>
              <w:t>(Survival</w:t>
            </w:r>
            <w:r w:rsidRPr="008714C3">
              <w:rPr>
                <w:rFonts w:cstheme="minorHAnsi"/>
                <w:b/>
                <w:sz w:val="16"/>
                <w:szCs w:val="16"/>
                <w:lang w:val="en-GB"/>
              </w:rPr>
              <w:t xml:space="preserve"> </w:t>
            </w:r>
            <w:r w:rsidRPr="008714C3">
              <w:rPr>
                <w:rFonts w:cstheme="minorHAnsi"/>
                <w:sz w:val="16"/>
                <w:szCs w:val="16"/>
                <w:lang w:val="en-GB"/>
              </w:rPr>
              <w:t>to hospital discharge)</w:t>
            </w:r>
          </w:p>
          <w:p w14:paraId="65C3968E" w14:textId="1B73A3D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Specific procedures</w:t>
            </w:r>
          </w:p>
          <w:p w14:paraId="0E9EEB1B" w14:textId="2928F36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 Cardiac catheterization</w:t>
            </w:r>
          </w:p>
          <w:p w14:paraId="01AE2748" w14:textId="5D38A6B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4. DNR</w:t>
            </w:r>
            <w:r w:rsidR="00912ACB">
              <w:rPr>
                <w:rStyle w:val="Appelnotedebasdep"/>
                <w:rFonts w:cstheme="minorHAnsi"/>
                <w:b/>
                <w:sz w:val="16"/>
                <w:szCs w:val="16"/>
                <w:lang w:val="en-GB"/>
              </w:rPr>
              <w:footnoteReference w:id="1"/>
            </w:r>
            <w:r w:rsidRPr="008714C3">
              <w:rPr>
                <w:rFonts w:cstheme="minorHAnsi"/>
                <w:b/>
                <w:sz w:val="16"/>
                <w:szCs w:val="16"/>
                <w:lang w:val="en-GB"/>
              </w:rPr>
              <w:t xml:space="preserve"> within 24h</w:t>
            </w:r>
          </w:p>
          <w:p w14:paraId="7221D3DF" w14:textId="1863EE3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lang w:val="en-GB"/>
              </w:rPr>
              <w:t>5. Treatment at 24/7 PCI</w:t>
            </w:r>
            <w:r w:rsidRPr="008714C3">
              <w:rPr>
                <w:rStyle w:val="Appelnotedebasdep"/>
                <w:rFonts w:cstheme="minorHAnsi"/>
                <w:b/>
                <w:sz w:val="16"/>
                <w:szCs w:val="16"/>
                <w:lang w:val="en-GB"/>
              </w:rPr>
              <w:footnoteReference w:id="2"/>
            </w:r>
            <w:r w:rsidRPr="008714C3">
              <w:rPr>
                <w:rFonts w:cstheme="minorHAnsi"/>
                <w:b/>
                <w:sz w:val="16"/>
                <w:szCs w:val="16"/>
                <w:lang w:val="en-GB"/>
              </w:rPr>
              <w:t xml:space="preserve"> </w:t>
            </w:r>
            <w:proofErr w:type="spellStart"/>
            <w:r w:rsidRPr="008714C3">
              <w:rPr>
                <w:rFonts w:cstheme="minorHAnsi"/>
                <w:b/>
                <w:sz w:val="16"/>
                <w:szCs w:val="16"/>
                <w:lang w:val="en-GB"/>
              </w:rPr>
              <w:t>center</w:t>
            </w:r>
            <w:proofErr w:type="spellEnd"/>
            <w:r w:rsidRPr="008714C3">
              <w:rPr>
                <w:rFonts w:cstheme="minorHAnsi"/>
                <w:b/>
                <w:sz w:val="16"/>
                <w:szCs w:val="16"/>
                <w:lang w:val="en-GB"/>
              </w:rPr>
              <w:t xml:space="preserve"> </w:t>
            </w:r>
            <w:r w:rsidRPr="008714C3">
              <w:rPr>
                <w:rFonts w:cstheme="minorHAnsi"/>
                <w:sz w:val="16"/>
                <w:szCs w:val="16"/>
                <w:lang w:val="en-GB"/>
              </w:rPr>
              <w:t>(STEMI</w:t>
            </w:r>
            <w:r w:rsidRPr="008714C3">
              <w:rPr>
                <w:rStyle w:val="Appelnotedebasdep"/>
                <w:rFonts w:cstheme="minorHAnsi"/>
                <w:sz w:val="16"/>
                <w:szCs w:val="16"/>
                <w:lang w:val="en-GB"/>
              </w:rPr>
              <w:footnoteReference w:id="3"/>
            </w:r>
            <w:r w:rsidRPr="008714C3">
              <w:rPr>
                <w:rFonts w:cstheme="minorHAnsi"/>
                <w:sz w:val="16"/>
                <w:szCs w:val="16"/>
                <w:lang w:val="en-GB"/>
              </w:rPr>
              <w:t xml:space="preserve"> </w:t>
            </w:r>
            <w:proofErr w:type="spellStart"/>
            <w:r w:rsidRPr="008714C3">
              <w:rPr>
                <w:rFonts w:cstheme="minorHAnsi"/>
                <w:sz w:val="16"/>
                <w:szCs w:val="16"/>
                <w:lang w:val="en-GB"/>
              </w:rPr>
              <w:t>center</w:t>
            </w:r>
            <w:proofErr w:type="spellEnd"/>
            <w:r w:rsidRPr="008714C3">
              <w:rPr>
                <w:rFonts w:cstheme="minorHAnsi"/>
                <w:sz w:val="16"/>
                <w:szCs w:val="16"/>
                <w:lang w:val="en-GB"/>
              </w:rPr>
              <w:t>)</w:t>
            </w:r>
          </w:p>
        </w:tc>
        <w:tc>
          <w:tcPr>
            <w:tcW w:w="1934" w:type="dxa"/>
            <w:shd w:val="clear" w:color="auto" w:fill="D9D9D9" w:themeFill="background1" w:themeFillShade="D9"/>
          </w:tcPr>
          <w:p w14:paraId="3B30DC91"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Insurance status</w:t>
            </w:r>
          </w:p>
          <w:p w14:paraId="30C780AD" w14:textId="37FD637B"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 insurance)</w:t>
            </w:r>
          </w:p>
          <w:p w14:paraId="4DCAB65F" w14:textId="7171DEB0"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Medicare insurance</w:t>
            </w:r>
          </w:p>
          <w:p w14:paraId="304F6552" w14:textId="167D1E5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Government insurance</w:t>
            </w:r>
          </w:p>
        </w:tc>
        <w:tc>
          <w:tcPr>
            <w:tcW w:w="1955" w:type="dxa"/>
            <w:shd w:val="clear" w:color="auto" w:fill="D9D9D9" w:themeFill="background1" w:themeFillShade="D9"/>
          </w:tcPr>
          <w:p w14:paraId="6EA472A8" w14:textId="5D98A3B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Odds ratios with 95% confidence intervals (CI 95%)</w:t>
            </w:r>
          </w:p>
          <w:p w14:paraId="03144B07" w14:textId="738E24B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1.a. 0.85 (0.79-0.91)</w:t>
            </w:r>
          </w:p>
          <w:p w14:paraId="7BC1E332" w14:textId="2F23882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1.b. 0.94 (0.88-1.01)</w:t>
            </w:r>
          </w:p>
          <w:p w14:paraId="2704E07D" w14:textId="49F8D13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2.a. 0.78 (0.73-0.83)</w:t>
            </w:r>
          </w:p>
          <w:p w14:paraId="7FD92154" w14:textId="49A9554C"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 0.65 (0.61-0.69)</w:t>
            </w:r>
          </w:p>
          <w:p w14:paraId="0A4B5CB1" w14:textId="4F7B614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3.a. 1.25 (1.15-1.36)</w:t>
            </w:r>
          </w:p>
          <w:p w14:paraId="44125DBB" w14:textId="5AFD348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3.b. 1.24 (1.13-1.36)</w:t>
            </w:r>
          </w:p>
          <w:p w14:paraId="1F493479" w14:textId="18C20D7E"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4.a. 0.44 (0.40-0.48)</w:t>
            </w:r>
          </w:p>
          <w:p w14:paraId="5C4188D2" w14:textId="0BAE69EB"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4.b. 0.56 (0.51-0.61)</w:t>
            </w:r>
          </w:p>
          <w:p w14:paraId="5F23D47E" w14:textId="5F76219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5.a. 0.87 (0.82-0.94)</w:t>
            </w:r>
          </w:p>
          <w:p w14:paraId="3829B1D8" w14:textId="1176DF5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5.b. 0.91 (0.85-0.98)</w:t>
            </w:r>
          </w:p>
        </w:tc>
        <w:tc>
          <w:tcPr>
            <w:tcW w:w="2218" w:type="dxa"/>
            <w:shd w:val="clear" w:color="auto" w:fill="D9D9D9" w:themeFill="background1" w:themeFillShade="D9"/>
          </w:tcPr>
          <w:p w14:paraId="13380EFE" w14:textId="0577B05A"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i/>
                <w:sz w:val="16"/>
                <w:szCs w:val="16"/>
                <w:lang w:val="en-GB"/>
              </w:rPr>
            </w:pPr>
            <w:r w:rsidRPr="008714C3">
              <w:rPr>
                <w:rFonts w:cstheme="minorHAnsi"/>
                <w:sz w:val="16"/>
                <w:szCs w:val="16"/>
                <w:lang w:val="en-GB"/>
              </w:rPr>
              <w:t xml:space="preserve">Insurance status </w:t>
            </w:r>
            <w:r w:rsidR="00BB12BD" w:rsidRPr="008714C3">
              <w:rPr>
                <w:rFonts w:cstheme="minorHAnsi"/>
                <w:sz w:val="16"/>
                <w:szCs w:val="16"/>
                <w:lang w:val="en-GB"/>
              </w:rPr>
              <w:t xml:space="preserve">is </w:t>
            </w:r>
            <w:r w:rsidRPr="008714C3">
              <w:rPr>
                <w:rFonts w:cstheme="minorHAnsi"/>
                <w:sz w:val="16"/>
                <w:szCs w:val="16"/>
                <w:lang w:val="en-GB"/>
              </w:rPr>
              <w:t xml:space="preserve">independently associated with the likelihood of good neurological recovery, survival to hospital discharge, treatment at a 24/7 PCI </w:t>
            </w:r>
            <w:proofErr w:type="spellStart"/>
            <w:r w:rsidRPr="008714C3">
              <w:rPr>
                <w:rFonts w:cstheme="minorHAnsi"/>
                <w:sz w:val="16"/>
                <w:szCs w:val="16"/>
                <w:lang w:val="en-GB"/>
              </w:rPr>
              <w:t>center</w:t>
            </w:r>
            <w:proofErr w:type="spellEnd"/>
            <w:r w:rsidRPr="008714C3">
              <w:rPr>
                <w:rFonts w:cstheme="minorHAnsi"/>
                <w:sz w:val="16"/>
                <w:szCs w:val="16"/>
                <w:lang w:val="en-GB"/>
              </w:rPr>
              <w:t xml:space="preserve">, receiving a DNR order within 24 h of admission and undergoing cardiac catheterization in patients experiencing </w:t>
            </w:r>
            <w:r w:rsidR="00BB12BD" w:rsidRPr="008714C3">
              <w:rPr>
                <w:rFonts w:cstheme="minorHAnsi"/>
                <w:sz w:val="16"/>
                <w:szCs w:val="16"/>
                <w:lang w:val="en-GB"/>
              </w:rPr>
              <w:t>o</w:t>
            </w:r>
            <w:r w:rsidRPr="008714C3">
              <w:rPr>
                <w:rFonts w:cstheme="minorHAnsi"/>
                <w:sz w:val="16"/>
                <w:szCs w:val="16"/>
                <w:lang w:val="en-GB"/>
              </w:rPr>
              <w:t>ut-of-</w:t>
            </w:r>
            <w:r w:rsidR="00BB12BD" w:rsidRPr="008714C3">
              <w:rPr>
                <w:rFonts w:cstheme="minorHAnsi"/>
                <w:sz w:val="16"/>
                <w:szCs w:val="16"/>
                <w:lang w:val="en-GB"/>
              </w:rPr>
              <w:t>h</w:t>
            </w:r>
            <w:r w:rsidRPr="008714C3">
              <w:rPr>
                <w:rFonts w:cstheme="minorHAnsi"/>
                <w:sz w:val="16"/>
                <w:szCs w:val="16"/>
                <w:lang w:val="en-GB"/>
              </w:rPr>
              <w:t xml:space="preserve">ospital Cardiac Arrest. </w:t>
            </w:r>
          </w:p>
        </w:tc>
      </w:tr>
      <w:tr w:rsidR="008714C3" w:rsidRPr="00A7168F" w14:paraId="7E3DD532"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26EEE158" w14:textId="7C9BD0EB" w:rsidR="00657CE3" w:rsidRPr="00F03413" w:rsidRDefault="00657CE3" w:rsidP="00657CE3">
            <w:pPr>
              <w:rPr>
                <w:rFonts w:cstheme="minorHAnsi"/>
                <w:sz w:val="16"/>
                <w:szCs w:val="16"/>
              </w:rPr>
            </w:pPr>
            <w:r w:rsidRPr="00F03413">
              <w:rPr>
                <w:rFonts w:cstheme="minorHAnsi"/>
                <w:sz w:val="16"/>
                <w:szCs w:val="16"/>
              </w:rPr>
              <w:t>Davis, E. E., et al.</w:t>
            </w:r>
          </w:p>
          <w:p w14:paraId="3547B606" w14:textId="77777777" w:rsidR="00657CE3" w:rsidRPr="008714C3" w:rsidRDefault="00657CE3" w:rsidP="00657CE3">
            <w:pPr>
              <w:rPr>
                <w:rFonts w:cstheme="minorHAnsi"/>
                <w:sz w:val="16"/>
                <w:szCs w:val="16"/>
                <w:lang w:val="en-GB"/>
              </w:rPr>
            </w:pPr>
            <w:r w:rsidRPr="008714C3">
              <w:rPr>
                <w:rFonts w:cstheme="minorHAnsi"/>
                <w:sz w:val="16"/>
                <w:szCs w:val="16"/>
                <w:lang w:val="en-GB"/>
              </w:rPr>
              <w:t>2010</w:t>
            </w:r>
          </w:p>
          <w:p w14:paraId="1B1EE1D8" w14:textId="77777777"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0ACAD0E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5D8E740A" w14:textId="1E0C179C" w:rsidR="00657CE3" w:rsidRPr="008714C3" w:rsidRDefault="00657CE3" w:rsidP="00DC338F">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color w:val="000000"/>
                <w:sz w:val="16"/>
                <w:szCs w:val="16"/>
                <w:lang w:val="en-GB"/>
              </w:rPr>
              <w:t xml:space="preserve">To examine </w:t>
            </w:r>
            <w:r w:rsidR="00DC338F" w:rsidRPr="008714C3">
              <w:rPr>
                <w:color w:val="000000"/>
                <w:sz w:val="16"/>
                <w:szCs w:val="16"/>
                <w:lang w:val="en-GB"/>
              </w:rPr>
              <w:t xml:space="preserve">the </w:t>
            </w:r>
            <w:r w:rsidRPr="008714C3">
              <w:rPr>
                <w:color w:val="000000"/>
                <w:sz w:val="16"/>
                <w:szCs w:val="16"/>
                <w:lang w:val="en-GB"/>
              </w:rPr>
              <w:t xml:space="preserve">frequency of return visits for treating dental health problems in hospital </w:t>
            </w:r>
            <w:r w:rsidRPr="008714C3">
              <w:rPr>
                <w:color w:val="000000"/>
                <w:sz w:val="16"/>
                <w:szCs w:val="16"/>
                <w:lang w:val="en-GB"/>
              </w:rPr>
              <w:lastRenderedPageBreak/>
              <w:t>emergency rooms for patients without access to private dental services</w:t>
            </w:r>
          </w:p>
        </w:tc>
        <w:tc>
          <w:tcPr>
            <w:tcW w:w="1689" w:type="dxa"/>
            <w:shd w:val="clear" w:color="auto" w:fill="D9D9D9" w:themeFill="background1" w:themeFillShade="D9"/>
          </w:tcPr>
          <w:p w14:paraId="3D067B9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lastRenderedPageBreak/>
              <w:t>Individuals without access to private dental services (n=7,846)</w:t>
            </w:r>
          </w:p>
        </w:tc>
        <w:tc>
          <w:tcPr>
            <w:tcW w:w="1692" w:type="dxa"/>
            <w:shd w:val="clear" w:color="auto" w:fill="D9D9D9" w:themeFill="background1" w:themeFillShade="D9"/>
          </w:tcPr>
          <w:p w14:paraId="3CC07FDD" w14:textId="14ACE95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 xml:space="preserve">ED </w:t>
            </w:r>
            <w:proofErr w:type="gramStart"/>
            <w:r w:rsidRPr="008714C3">
              <w:rPr>
                <w:rFonts w:cstheme="minorHAnsi"/>
                <w:b/>
                <w:sz w:val="16"/>
                <w:szCs w:val="16"/>
                <w:u w:val="single"/>
                <w:lang w:val="en-GB"/>
              </w:rPr>
              <w:t>visits</w:t>
            </w:r>
            <w:r w:rsidRPr="008714C3">
              <w:rPr>
                <w:rFonts w:cstheme="minorHAnsi"/>
                <w:b/>
                <w:sz w:val="16"/>
                <w:szCs w:val="16"/>
                <w:lang w:val="en-GB"/>
              </w:rPr>
              <w:t xml:space="preserve">  </w:t>
            </w:r>
            <w:r w:rsidRPr="008714C3">
              <w:rPr>
                <w:rFonts w:cstheme="minorHAnsi"/>
                <w:sz w:val="16"/>
                <w:szCs w:val="16"/>
                <w:lang w:val="en-GB"/>
              </w:rPr>
              <w:t>(</w:t>
            </w:r>
            <w:proofErr w:type="gramEnd"/>
            <w:r w:rsidRPr="008714C3">
              <w:rPr>
                <w:rFonts w:cstheme="minorHAnsi"/>
                <w:sz w:val="16"/>
                <w:szCs w:val="16"/>
                <w:lang w:val="en-GB"/>
              </w:rPr>
              <w:t>Dental-related)</w:t>
            </w:r>
          </w:p>
          <w:p w14:paraId="3FF60E9D"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
        </w:tc>
        <w:tc>
          <w:tcPr>
            <w:tcW w:w="1934" w:type="dxa"/>
            <w:shd w:val="clear" w:color="auto" w:fill="D9D9D9" w:themeFill="background1" w:themeFillShade="D9"/>
          </w:tcPr>
          <w:p w14:paraId="5D9B61E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Insurance status</w:t>
            </w:r>
            <w:r w:rsidRPr="008714C3">
              <w:rPr>
                <w:rFonts w:cstheme="minorHAnsi"/>
                <w:b/>
                <w:sz w:val="16"/>
                <w:szCs w:val="16"/>
                <w:lang w:val="en-GB"/>
              </w:rPr>
              <w:t xml:space="preserve"> </w:t>
            </w:r>
            <w:r w:rsidRPr="008714C3">
              <w:rPr>
                <w:rFonts w:cstheme="minorHAnsi"/>
                <w:sz w:val="16"/>
                <w:szCs w:val="16"/>
                <w:lang w:val="en-GB"/>
              </w:rPr>
              <w:t>(Private (commercial), public, Medicare or Self-pay)</w:t>
            </w:r>
          </w:p>
        </w:tc>
        <w:tc>
          <w:tcPr>
            <w:tcW w:w="1955" w:type="dxa"/>
            <w:shd w:val="clear" w:color="auto" w:fill="D9D9D9" w:themeFill="background1" w:themeFillShade="D9"/>
          </w:tcPr>
          <w:p w14:paraId="1D927831" w14:textId="2C22FF14" w:rsidR="00657CE3" w:rsidRPr="008714C3" w:rsidRDefault="004A7A06"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Pr>
                <w:rFonts w:cstheme="minorHAnsi"/>
                <w:sz w:val="16"/>
                <w:szCs w:val="16"/>
                <w:lang w:val="en-GB"/>
              </w:rPr>
              <w:t>-</w:t>
            </w:r>
          </w:p>
        </w:tc>
        <w:tc>
          <w:tcPr>
            <w:tcW w:w="2218" w:type="dxa"/>
            <w:shd w:val="clear" w:color="auto" w:fill="D9D9D9" w:themeFill="background1" w:themeFillShade="D9"/>
          </w:tcPr>
          <w:p w14:paraId="0FC4715E" w14:textId="3C58CE1A"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Patients without insurance are much more likely to resort to the ED for dental problems than those with private coverage</w:t>
            </w:r>
          </w:p>
        </w:tc>
      </w:tr>
      <w:tr w:rsidR="008714C3" w:rsidRPr="00A7168F" w14:paraId="3A07043C"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2528EC42" w14:textId="77777777" w:rsidR="00657CE3" w:rsidRPr="008714C3" w:rsidRDefault="00657CE3" w:rsidP="00657CE3">
            <w:pPr>
              <w:rPr>
                <w:rFonts w:cstheme="minorHAnsi"/>
                <w:color w:val="000000"/>
                <w:sz w:val="16"/>
                <w:szCs w:val="16"/>
                <w:lang w:val="en-GB"/>
              </w:rPr>
            </w:pPr>
            <w:proofErr w:type="spellStart"/>
            <w:r w:rsidRPr="008714C3">
              <w:rPr>
                <w:rFonts w:cstheme="minorHAnsi"/>
                <w:color w:val="000000"/>
                <w:sz w:val="16"/>
                <w:szCs w:val="16"/>
                <w:lang w:val="en-GB"/>
              </w:rPr>
              <w:lastRenderedPageBreak/>
              <w:t>DeLeire</w:t>
            </w:r>
            <w:proofErr w:type="spellEnd"/>
            <w:r w:rsidRPr="008714C3">
              <w:rPr>
                <w:rFonts w:cstheme="minorHAnsi"/>
                <w:color w:val="000000"/>
                <w:sz w:val="16"/>
                <w:szCs w:val="16"/>
                <w:lang w:val="en-GB"/>
              </w:rPr>
              <w:t>, T., et al.</w:t>
            </w:r>
          </w:p>
          <w:p w14:paraId="2DFC54A7" w14:textId="77777777" w:rsidR="00657CE3" w:rsidRPr="008714C3" w:rsidRDefault="00657CE3" w:rsidP="00657CE3">
            <w:pPr>
              <w:rPr>
                <w:rFonts w:cstheme="minorHAnsi"/>
                <w:color w:val="000000"/>
                <w:sz w:val="16"/>
                <w:szCs w:val="16"/>
                <w:lang w:val="en-GB"/>
              </w:rPr>
            </w:pPr>
            <w:r w:rsidRPr="008714C3">
              <w:rPr>
                <w:rFonts w:cstheme="minorHAnsi"/>
                <w:color w:val="000000"/>
                <w:sz w:val="16"/>
                <w:szCs w:val="16"/>
                <w:lang w:val="en-GB"/>
              </w:rPr>
              <w:t>2010</w:t>
            </w:r>
          </w:p>
          <w:p w14:paraId="444858BE" w14:textId="77777777" w:rsidR="00657CE3" w:rsidRPr="008714C3" w:rsidRDefault="00657CE3" w:rsidP="00657CE3">
            <w:pPr>
              <w:rPr>
                <w:rFonts w:cstheme="minorHAnsi"/>
                <w:sz w:val="16"/>
                <w:szCs w:val="16"/>
                <w:lang w:val="en-GB"/>
              </w:rPr>
            </w:pPr>
            <w:r w:rsidRPr="008714C3">
              <w:rPr>
                <w:rFonts w:cstheme="minorHAnsi"/>
                <w:color w:val="000000"/>
                <w:sz w:val="16"/>
                <w:szCs w:val="16"/>
                <w:lang w:val="en-GB"/>
              </w:rPr>
              <w:t>United States</w:t>
            </w:r>
          </w:p>
        </w:tc>
        <w:tc>
          <w:tcPr>
            <w:tcW w:w="1485" w:type="dxa"/>
            <w:shd w:val="clear" w:color="auto" w:fill="D9D9D9" w:themeFill="background1" w:themeFillShade="D9"/>
          </w:tcPr>
          <w:p w14:paraId="26815534"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Case-crossover study </w:t>
            </w:r>
          </w:p>
        </w:tc>
        <w:tc>
          <w:tcPr>
            <w:tcW w:w="1782" w:type="dxa"/>
            <w:shd w:val="clear" w:color="auto" w:fill="D9D9D9" w:themeFill="background1" w:themeFillShade="D9"/>
          </w:tcPr>
          <w:p w14:paraId="2375924F" w14:textId="7183C645" w:rsidR="00657CE3" w:rsidRPr="008714C3" w:rsidRDefault="00657CE3" w:rsidP="00BB12BD">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color w:val="000000"/>
                <w:sz w:val="16"/>
                <w:szCs w:val="16"/>
                <w:lang w:val="en-GB"/>
              </w:rPr>
              <w:t xml:space="preserve">To examine if expanding Medicaid to low-income childless adults </w:t>
            </w:r>
            <w:r w:rsidR="00BB12BD" w:rsidRPr="008714C3">
              <w:rPr>
                <w:color w:val="000000"/>
                <w:sz w:val="16"/>
                <w:szCs w:val="16"/>
                <w:lang w:val="en-GB"/>
              </w:rPr>
              <w:t>impacts</w:t>
            </w:r>
            <w:r w:rsidRPr="008714C3">
              <w:rPr>
                <w:color w:val="000000"/>
                <w:sz w:val="16"/>
                <w:szCs w:val="16"/>
                <w:lang w:val="en-GB"/>
              </w:rPr>
              <w:t xml:space="preserve"> ED</w:t>
            </w:r>
            <w:r w:rsidR="00BB12BD" w:rsidRPr="008714C3">
              <w:rPr>
                <w:color w:val="000000"/>
                <w:sz w:val="16"/>
                <w:szCs w:val="16"/>
                <w:lang w:val="en-GB"/>
              </w:rPr>
              <w:t xml:space="preserve"> use</w:t>
            </w:r>
            <w:r w:rsidRPr="008714C3">
              <w:rPr>
                <w:color w:val="000000"/>
                <w:sz w:val="16"/>
                <w:szCs w:val="16"/>
                <w:lang w:val="en-GB"/>
              </w:rPr>
              <w:t>.</w:t>
            </w:r>
          </w:p>
        </w:tc>
        <w:tc>
          <w:tcPr>
            <w:tcW w:w="1689" w:type="dxa"/>
            <w:shd w:val="clear" w:color="auto" w:fill="D9D9D9" w:themeFill="background1" w:themeFillShade="D9"/>
          </w:tcPr>
          <w:p w14:paraId="707A95E5"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Low-income childless adults (n=9,619)</w:t>
            </w:r>
          </w:p>
        </w:tc>
        <w:tc>
          <w:tcPr>
            <w:tcW w:w="1692" w:type="dxa"/>
            <w:shd w:val="clear" w:color="auto" w:fill="D9D9D9" w:themeFill="background1" w:themeFillShade="D9"/>
          </w:tcPr>
          <w:p w14:paraId="29D5710C" w14:textId="22A04FBE"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1. Total ED visits</w:t>
            </w:r>
          </w:p>
          <w:p w14:paraId="7C5EA0C3" w14:textId="54E2B0F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2. ACSC</w:t>
            </w:r>
            <w:r w:rsidR="003F649D" w:rsidRPr="008714C3">
              <w:rPr>
                <w:rFonts w:cstheme="minorHAnsi"/>
                <w:b/>
                <w:sz w:val="16"/>
                <w:szCs w:val="16"/>
                <w:u w:val="single"/>
                <w:lang w:val="en-GB"/>
              </w:rPr>
              <w:t>s</w:t>
            </w:r>
            <w:r w:rsidRPr="008714C3">
              <w:rPr>
                <w:rFonts w:cstheme="minorHAnsi"/>
                <w:b/>
                <w:sz w:val="16"/>
                <w:szCs w:val="16"/>
                <w:u w:val="single"/>
                <w:lang w:val="en-GB"/>
              </w:rPr>
              <w:t xml:space="preserve"> ED visits</w:t>
            </w:r>
          </w:p>
          <w:p w14:paraId="59F78E8D"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lang w:val="en-GB"/>
              </w:rPr>
              <w:t xml:space="preserve">3. Specific ED </w:t>
            </w:r>
            <w:proofErr w:type="gramStart"/>
            <w:r w:rsidRPr="008714C3">
              <w:rPr>
                <w:rFonts w:cstheme="minorHAnsi"/>
                <w:b/>
                <w:sz w:val="16"/>
                <w:szCs w:val="16"/>
                <w:lang w:val="en-GB"/>
              </w:rPr>
              <w:t xml:space="preserve">visits  </w:t>
            </w:r>
            <w:r w:rsidRPr="008714C3">
              <w:rPr>
                <w:rFonts w:cstheme="minorHAnsi"/>
                <w:sz w:val="16"/>
                <w:szCs w:val="16"/>
                <w:lang w:val="en-GB"/>
              </w:rPr>
              <w:t>(</w:t>
            </w:r>
            <w:proofErr w:type="gramEnd"/>
            <w:r w:rsidRPr="008714C3">
              <w:rPr>
                <w:rFonts w:cstheme="minorHAnsi"/>
                <w:sz w:val="16"/>
                <w:szCs w:val="16"/>
                <w:lang w:val="en-GB"/>
              </w:rPr>
              <w:t>for mental health/ drug/alcohol)</w:t>
            </w:r>
          </w:p>
          <w:p w14:paraId="554A5D03" w14:textId="0A694CC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4. Unclassified ED visits</w:t>
            </w:r>
          </w:p>
        </w:tc>
        <w:tc>
          <w:tcPr>
            <w:tcW w:w="1934" w:type="dxa"/>
            <w:shd w:val="clear" w:color="auto" w:fill="D9D9D9" w:themeFill="background1" w:themeFillShade="D9"/>
          </w:tcPr>
          <w:p w14:paraId="20DF25D1"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color w:val="FF0000"/>
                <w:sz w:val="16"/>
                <w:szCs w:val="16"/>
                <w:lang w:val="en-GB"/>
              </w:rPr>
            </w:pPr>
            <w:r w:rsidRPr="008714C3">
              <w:rPr>
                <w:rFonts w:cstheme="minorHAnsi"/>
                <w:b/>
                <w:sz w:val="16"/>
                <w:szCs w:val="16"/>
                <w:u w:val="single"/>
                <w:lang w:val="en-GB"/>
              </w:rPr>
              <w:t>Insurance status</w:t>
            </w:r>
            <w:r w:rsidRPr="008714C3">
              <w:rPr>
                <w:rFonts w:cstheme="minorHAnsi"/>
                <w:b/>
                <w:sz w:val="16"/>
                <w:szCs w:val="16"/>
                <w:lang w:val="en-GB"/>
              </w:rPr>
              <w:t xml:space="preserve"> </w:t>
            </w:r>
            <w:r w:rsidRPr="008714C3">
              <w:rPr>
                <w:rFonts w:cstheme="minorHAnsi"/>
                <w:sz w:val="16"/>
                <w:szCs w:val="16"/>
                <w:lang w:val="en-GB"/>
              </w:rPr>
              <w:t>(comparison before and after introduction of public insurance)</w:t>
            </w:r>
          </w:p>
        </w:tc>
        <w:tc>
          <w:tcPr>
            <w:tcW w:w="1955" w:type="dxa"/>
            <w:shd w:val="clear" w:color="auto" w:fill="D9D9D9" w:themeFill="background1" w:themeFillShade="D9"/>
          </w:tcPr>
          <w:p w14:paraId="43AEF37A" w14:textId="362C2C5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Predicted increase after introduction of insurance (%):</w:t>
            </w:r>
          </w:p>
          <w:p w14:paraId="57AECA1E"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 46%, p&lt;0.01</w:t>
            </w:r>
          </w:p>
          <w:p w14:paraId="57CECC9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 38,7%, p&lt;0.01</w:t>
            </w:r>
          </w:p>
          <w:p w14:paraId="5E4A9D0A"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 343.9%, p&lt;0.01</w:t>
            </w:r>
          </w:p>
          <w:p w14:paraId="4F57386B" w14:textId="6F776B16"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4. 89.8%, p&lt;0.01</w:t>
            </w:r>
          </w:p>
        </w:tc>
        <w:tc>
          <w:tcPr>
            <w:tcW w:w="2218" w:type="dxa"/>
            <w:shd w:val="clear" w:color="auto" w:fill="D9D9D9" w:themeFill="background1" w:themeFillShade="D9"/>
          </w:tcPr>
          <w:p w14:paraId="2D0F2B90" w14:textId="4FD95B8F"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color w:val="FF0000"/>
                <w:sz w:val="16"/>
                <w:szCs w:val="16"/>
                <w:lang w:val="en-GB"/>
              </w:rPr>
            </w:pPr>
            <w:r w:rsidRPr="008714C3">
              <w:rPr>
                <w:rFonts w:cstheme="minorHAnsi"/>
                <w:sz w:val="16"/>
                <w:szCs w:val="16"/>
                <w:lang w:val="en-GB"/>
              </w:rPr>
              <w:t xml:space="preserve">Public insurance coverage expansions to childless adults have the potential to improve health and reduce costs by increasing access to outpatient care, ED visits and reducing hospitalizations. </w:t>
            </w:r>
          </w:p>
        </w:tc>
      </w:tr>
      <w:tr w:rsidR="008714C3" w:rsidRPr="00A7168F" w14:paraId="4462BBC9"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7AE852CF" w14:textId="77777777" w:rsidR="00657CE3" w:rsidRPr="008714C3" w:rsidRDefault="00657CE3" w:rsidP="00657CE3">
            <w:pPr>
              <w:rPr>
                <w:rFonts w:cstheme="minorHAnsi"/>
                <w:sz w:val="16"/>
                <w:szCs w:val="16"/>
                <w:lang w:val="en-GB"/>
              </w:rPr>
            </w:pPr>
            <w:r w:rsidRPr="008714C3">
              <w:rPr>
                <w:rFonts w:cstheme="minorHAnsi"/>
                <w:sz w:val="16"/>
                <w:szCs w:val="16"/>
                <w:lang w:val="en-GB"/>
              </w:rPr>
              <w:t>Kerr, J., et al.</w:t>
            </w:r>
          </w:p>
          <w:p w14:paraId="3DBDBDA5" w14:textId="77777777" w:rsidR="00657CE3" w:rsidRPr="008714C3" w:rsidRDefault="00657CE3" w:rsidP="00657CE3">
            <w:pPr>
              <w:rPr>
                <w:rFonts w:cstheme="minorHAnsi"/>
                <w:sz w:val="16"/>
                <w:szCs w:val="16"/>
                <w:lang w:val="en-GB"/>
              </w:rPr>
            </w:pPr>
            <w:r w:rsidRPr="008714C3">
              <w:rPr>
                <w:rFonts w:cstheme="minorHAnsi"/>
                <w:sz w:val="16"/>
                <w:szCs w:val="16"/>
                <w:lang w:val="en-GB"/>
              </w:rPr>
              <w:t>2014</w:t>
            </w:r>
          </w:p>
          <w:p w14:paraId="37E9638C" w14:textId="332132E4"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0F9CD0DF" w14:textId="1BAA276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0E05BAC7" w14:textId="69B6545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To determine factors associated with ED utilization for HIV-infected patients</w:t>
            </w:r>
          </w:p>
        </w:tc>
        <w:tc>
          <w:tcPr>
            <w:tcW w:w="1689" w:type="dxa"/>
            <w:shd w:val="clear" w:color="auto" w:fill="D9D9D9" w:themeFill="background1" w:themeFillShade="D9"/>
          </w:tcPr>
          <w:p w14:paraId="0CDB2DE0" w14:textId="12CE50BF"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HIV-infected South Carolina residents (n=4,947)</w:t>
            </w:r>
          </w:p>
        </w:tc>
        <w:tc>
          <w:tcPr>
            <w:tcW w:w="1692" w:type="dxa"/>
            <w:shd w:val="clear" w:color="auto" w:fill="D9D9D9" w:themeFill="background1" w:themeFillShade="D9"/>
          </w:tcPr>
          <w:p w14:paraId="4F7BAC16" w14:textId="0FFC594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Total ED visits</w:t>
            </w:r>
          </w:p>
        </w:tc>
        <w:tc>
          <w:tcPr>
            <w:tcW w:w="1934" w:type="dxa"/>
            <w:shd w:val="clear" w:color="auto" w:fill="D9D9D9" w:themeFill="background1" w:themeFillShade="D9"/>
          </w:tcPr>
          <w:p w14:paraId="5EF99A8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Insurance status</w:t>
            </w:r>
          </w:p>
          <w:p w14:paraId="28A96364"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0556B7F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a. Self-pay </w:t>
            </w:r>
          </w:p>
          <w:p w14:paraId="6ADC40E4"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b. Medicare </w:t>
            </w:r>
          </w:p>
          <w:p w14:paraId="1EB2539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c. Medicaid </w:t>
            </w:r>
            <w:proofErr w:type="spellStart"/>
            <w:proofErr w:type="gramStart"/>
            <w:r w:rsidRPr="008714C3">
              <w:rPr>
                <w:rFonts w:cstheme="minorHAnsi"/>
                <w:sz w:val="16"/>
                <w:szCs w:val="16"/>
                <w:lang w:val="en-GB"/>
              </w:rPr>
              <w:t>d.Indigent</w:t>
            </w:r>
            <w:proofErr w:type="spellEnd"/>
            <w:proofErr w:type="gramEnd"/>
            <w:r w:rsidRPr="008714C3">
              <w:rPr>
                <w:rFonts w:cstheme="minorHAnsi"/>
                <w:sz w:val="16"/>
                <w:szCs w:val="16"/>
                <w:lang w:val="en-GB"/>
              </w:rPr>
              <w:t>/charity</w:t>
            </w:r>
          </w:p>
          <w:p w14:paraId="5685AD4B" w14:textId="3A3D2C35"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sz w:val="16"/>
                <w:szCs w:val="16"/>
                <w:lang w:val="en-GB"/>
              </w:rPr>
              <w:t>e. HMO</w:t>
            </w:r>
          </w:p>
        </w:tc>
        <w:tc>
          <w:tcPr>
            <w:tcW w:w="1955" w:type="dxa"/>
            <w:shd w:val="clear" w:color="auto" w:fill="D9D9D9" w:themeFill="background1" w:themeFillShade="D9"/>
          </w:tcPr>
          <w:p w14:paraId="57D5C61E"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Incidence rate ratio (95%CI)</w:t>
            </w:r>
          </w:p>
          <w:p w14:paraId="3F1E571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0.65 (0.61-0.70)</w:t>
            </w:r>
          </w:p>
          <w:p w14:paraId="09FF362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0.88 (0.82-0.95)</w:t>
            </w:r>
          </w:p>
          <w:p w14:paraId="1ECCCC6F"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c. 1.26 (1.18-1.36)</w:t>
            </w:r>
          </w:p>
          <w:p w14:paraId="31CB917F"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d. 1.65 (1.47-1.86)</w:t>
            </w:r>
          </w:p>
          <w:p w14:paraId="61560643" w14:textId="69998070"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e. 1.08 (0.95-1.23)</w:t>
            </w:r>
          </w:p>
        </w:tc>
        <w:tc>
          <w:tcPr>
            <w:tcW w:w="2218" w:type="dxa"/>
            <w:shd w:val="clear" w:color="auto" w:fill="D9D9D9" w:themeFill="background1" w:themeFillShade="D9"/>
          </w:tcPr>
          <w:p w14:paraId="3C3B2762" w14:textId="609A6180"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Insurance type </w:t>
            </w:r>
            <w:r w:rsidR="00573FD0" w:rsidRPr="008714C3">
              <w:rPr>
                <w:rFonts w:cstheme="minorHAnsi"/>
                <w:sz w:val="16"/>
                <w:szCs w:val="16"/>
                <w:lang w:val="en-GB"/>
              </w:rPr>
              <w:t xml:space="preserve">is </w:t>
            </w:r>
            <w:r w:rsidRPr="008714C3">
              <w:rPr>
                <w:rFonts w:cstheme="minorHAnsi"/>
                <w:sz w:val="16"/>
                <w:szCs w:val="16"/>
                <w:lang w:val="en-GB"/>
              </w:rPr>
              <w:t xml:space="preserve">associated with ED utilization. There is a need to evaluate HIV primary care systems to increase access and develop interventions to reduce preventable ED visits. </w:t>
            </w:r>
          </w:p>
        </w:tc>
      </w:tr>
      <w:tr w:rsidR="008714C3" w:rsidRPr="00A7168F" w14:paraId="73476485"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729ABC52" w14:textId="77777777" w:rsidR="00657CE3" w:rsidRPr="00F03413" w:rsidRDefault="00657CE3" w:rsidP="00657CE3">
            <w:pPr>
              <w:rPr>
                <w:rFonts w:cstheme="minorHAnsi"/>
                <w:sz w:val="16"/>
                <w:szCs w:val="16"/>
              </w:rPr>
            </w:pPr>
            <w:r w:rsidRPr="00F03413">
              <w:rPr>
                <w:rFonts w:cstheme="minorHAnsi"/>
                <w:sz w:val="16"/>
                <w:szCs w:val="16"/>
              </w:rPr>
              <w:t>Lines, L. M., et al.</w:t>
            </w:r>
          </w:p>
          <w:p w14:paraId="353780A3" w14:textId="63382C53" w:rsidR="00657CE3" w:rsidRPr="008714C3" w:rsidRDefault="00657CE3" w:rsidP="00657CE3">
            <w:pPr>
              <w:rPr>
                <w:rFonts w:cstheme="minorHAnsi"/>
                <w:sz w:val="16"/>
                <w:szCs w:val="16"/>
                <w:lang w:val="en-GB"/>
              </w:rPr>
            </w:pPr>
            <w:r w:rsidRPr="008714C3">
              <w:rPr>
                <w:rFonts w:cstheme="minorHAnsi"/>
                <w:sz w:val="16"/>
                <w:szCs w:val="16"/>
                <w:lang w:val="en-GB"/>
              </w:rPr>
              <w:t>201</w:t>
            </w:r>
            <w:r w:rsidR="00BD18C8" w:rsidRPr="008714C3">
              <w:rPr>
                <w:rFonts w:cstheme="minorHAnsi"/>
                <w:sz w:val="16"/>
                <w:szCs w:val="16"/>
                <w:lang w:val="en-GB"/>
              </w:rPr>
              <w:t>9</w:t>
            </w:r>
          </w:p>
          <w:p w14:paraId="7B53B04E" w14:textId="2D4EC7F4"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549FA9C1" w14:textId="4259B43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0C40300D" w14:textId="0663238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 xml:space="preserve">To </w:t>
            </w:r>
            <w:proofErr w:type="gramStart"/>
            <w:r w:rsidRPr="008714C3">
              <w:rPr>
                <w:color w:val="000000"/>
                <w:sz w:val="16"/>
                <w:szCs w:val="16"/>
                <w:lang w:val="en-GB"/>
              </w:rPr>
              <w:t>compare  primary</w:t>
            </w:r>
            <w:proofErr w:type="gramEnd"/>
            <w:r w:rsidRPr="008714C3">
              <w:rPr>
                <w:color w:val="000000"/>
                <w:sz w:val="16"/>
                <w:szCs w:val="16"/>
                <w:lang w:val="en-GB"/>
              </w:rPr>
              <w:t xml:space="preserve"> care sensitive (PCS) conditions ED use for public versus private </w:t>
            </w:r>
            <w:proofErr w:type="spellStart"/>
            <w:r w:rsidRPr="008714C3">
              <w:rPr>
                <w:color w:val="000000"/>
                <w:sz w:val="16"/>
                <w:szCs w:val="16"/>
                <w:lang w:val="en-GB"/>
              </w:rPr>
              <w:t>insurees</w:t>
            </w:r>
            <w:proofErr w:type="spellEnd"/>
          </w:p>
        </w:tc>
        <w:tc>
          <w:tcPr>
            <w:tcW w:w="1689" w:type="dxa"/>
            <w:shd w:val="clear" w:color="auto" w:fill="D9D9D9" w:themeFill="background1" w:themeFillShade="D9"/>
          </w:tcPr>
          <w:p w14:paraId="15801B85" w14:textId="2457D14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People under age 65 in the Massachusetts All-Payer Claims Data (n=2,269,455)</w:t>
            </w:r>
          </w:p>
        </w:tc>
        <w:tc>
          <w:tcPr>
            <w:tcW w:w="1692" w:type="dxa"/>
            <w:shd w:val="clear" w:color="auto" w:fill="D9D9D9" w:themeFill="background1" w:themeFillShade="D9"/>
          </w:tcPr>
          <w:p w14:paraId="6EAC8B04" w14:textId="7228D6F2" w:rsidR="00657CE3" w:rsidRPr="008714C3" w:rsidRDefault="00657CE3" w:rsidP="00F0341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Preventable ED visits</w:t>
            </w:r>
            <w:r w:rsidRPr="008714C3">
              <w:rPr>
                <w:rFonts w:cstheme="minorHAnsi"/>
                <w:b/>
                <w:sz w:val="16"/>
                <w:szCs w:val="16"/>
                <w:lang w:val="en-GB"/>
              </w:rPr>
              <w:t xml:space="preserve"> </w:t>
            </w:r>
          </w:p>
        </w:tc>
        <w:tc>
          <w:tcPr>
            <w:tcW w:w="1934" w:type="dxa"/>
            <w:shd w:val="clear" w:color="auto" w:fill="D9D9D9" w:themeFill="background1" w:themeFillShade="D9"/>
          </w:tcPr>
          <w:p w14:paraId="67C7A7D7"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Insurance status</w:t>
            </w:r>
          </w:p>
          <w:p w14:paraId="717EDA77"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6C5E0027" w14:textId="2A8FEEA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Any public insurance</w:t>
            </w:r>
          </w:p>
        </w:tc>
        <w:tc>
          <w:tcPr>
            <w:tcW w:w="1955" w:type="dxa"/>
            <w:shd w:val="clear" w:color="auto" w:fill="D9D9D9" w:themeFill="background1" w:themeFillShade="D9"/>
          </w:tcPr>
          <w:p w14:paraId="6EC289CD"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Rate ratio (95%CI)</w:t>
            </w:r>
          </w:p>
          <w:p w14:paraId="6D38C0FD" w14:textId="382D6C38"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2.53 (2.49-2.56)</w:t>
            </w:r>
          </w:p>
        </w:tc>
        <w:tc>
          <w:tcPr>
            <w:tcW w:w="2218" w:type="dxa"/>
            <w:shd w:val="clear" w:color="auto" w:fill="D9D9D9" w:themeFill="background1" w:themeFillShade="D9"/>
          </w:tcPr>
          <w:p w14:paraId="3550AE9C" w14:textId="59870610"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Public insurance is associated with more PCS ED use. </w:t>
            </w:r>
            <w:proofErr w:type="spellStart"/>
            <w:r w:rsidR="008714C3" w:rsidRPr="008714C3">
              <w:rPr>
                <w:rFonts w:cstheme="minorHAnsi"/>
                <w:sz w:val="16"/>
                <w:szCs w:val="16"/>
                <w:lang w:val="en-GB"/>
              </w:rPr>
              <w:t>Statewide</w:t>
            </w:r>
            <w:proofErr w:type="spellEnd"/>
            <w:r w:rsidRPr="008714C3">
              <w:rPr>
                <w:rFonts w:cstheme="minorHAnsi"/>
                <w:sz w:val="16"/>
                <w:szCs w:val="16"/>
                <w:lang w:val="en-GB"/>
              </w:rPr>
              <w:t xml:space="preserve"> </w:t>
            </w:r>
            <w:r w:rsidR="008714C3" w:rsidRPr="008714C3">
              <w:rPr>
                <w:rFonts w:cstheme="minorHAnsi"/>
                <w:sz w:val="16"/>
                <w:szCs w:val="16"/>
                <w:lang w:val="en-GB"/>
              </w:rPr>
              <w:t>labour</w:t>
            </w:r>
            <w:r w:rsidRPr="008714C3">
              <w:rPr>
                <w:rFonts w:cstheme="minorHAnsi"/>
                <w:sz w:val="16"/>
                <w:szCs w:val="16"/>
                <w:lang w:val="en-GB"/>
              </w:rPr>
              <w:t xml:space="preserve"> shortages and low reimbursement rates from public insurance may provide inadequate access to care that may otherwise help reduce PCS ED use. </w:t>
            </w:r>
          </w:p>
        </w:tc>
      </w:tr>
      <w:tr w:rsidR="008714C3" w:rsidRPr="00A7168F" w14:paraId="03542BEE"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4E5751EC" w14:textId="77777777" w:rsidR="00657CE3" w:rsidRPr="008714C3" w:rsidRDefault="00657CE3" w:rsidP="00657CE3">
            <w:pPr>
              <w:rPr>
                <w:rFonts w:cstheme="minorHAnsi"/>
                <w:sz w:val="16"/>
                <w:szCs w:val="16"/>
                <w:lang w:val="en-GB"/>
              </w:rPr>
            </w:pPr>
            <w:proofErr w:type="spellStart"/>
            <w:r w:rsidRPr="008714C3">
              <w:rPr>
                <w:rFonts w:cstheme="minorHAnsi"/>
                <w:sz w:val="16"/>
                <w:szCs w:val="16"/>
                <w:lang w:val="en-GB"/>
              </w:rPr>
              <w:t>Livingood</w:t>
            </w:r>
            <w:proofErr w:type="spellEnd"/>
            <w:r w:rsidRPr="008714C3">
              <w:rPr>
                <w:rFonts w:cstheme="minorHAnsi"/>
                <w:sz w:val="16"/>
                <w:szCs w:val="16"/>
                <w:lang w:val="en-GB"/>
              </w:rPr>
              <w:t>, W. C., et al.</w:t>
            </w:r>
          </w:p>
          <w:p w14:paraId="06EEAC85" w14:textId="77777777" w:rsidR="00657CE3" w:rsidRPr="008714C3" w:rsidRDefault="00657CE3" w:rsidP="00657CE3">
            <w:pPr>
              <w:rPr>
                <w:rFonts w:cstheme="minorHAnsi"/>
                <w:sz w:val="16"/>
                <w:szCs w:val="16"/>
                <w:lang w:val="en-GB"/>
              </w:rPr>
            </w:pPr>
            <w:r w:rsidRPr="008714C3">
              <w:rPr>
                <w:rFonts w:cstheme="minorHAnsi"/>
                <w:sz w:val="16"/>
                <w:szCs w:val="16"/>
                <w:lang w:val="en-GB"/>
              </w:rPr>
              <w:t>2016</w:t>
            </w:r>
          </w:p>
          <w:p w14:paraId="2D25197A" w14:textId="0D5D1F5E"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034F2A93" w14:textId="488923B4"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population-based study</w:t>
            </w:r>
          </w:p>
        </w:tc>
        <w:tc>
          <w:tcPr>
            <w:tcW w:w="1782" w:type="dxa"/>
            <w:shd w:val="clear" w:color="auto" w:fill="D9D9D9" w:themeFill="background1" w:themeFillShade="D9"/>
          </w:tcPr>
          <w:p w14:paraId="0F21074C" w14:textId="502B7FF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rFonts w:ascii="Calibri" w:hAnsi="Calibri"/>
                <w:color w:val="000000"/>
                <w:sz w:val="16"/>
                <w:szCs w:val="16"/>
                <w:lang w:val="en-GB"/>
              </w:rPr>
              <w:t>To clarify some of the factors associated with the use of ED for initial cancer diagnoses</w:t>
            </w:r>
          </w:p>
        </w:tc>
        <w:tc>
          <w:tcPr>
            <w:tcW w:w="1689" w:type="dxa"/>
            <w:shd w:val="clear" w:color="auto" w:fill="D9D9D9" w:themeFill="background1" w:themeFillShade="D9"/>
          </w:tcPr>
          <w:p w14:paraId="0121A371" w14:textId="2FD8FCD3"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Patients with a primary or any secondary diagnosis of cancer (n=989)</w:t>
            </w:r>
          </w:p>
        </w:tc>
        <w:tc>
          <w:tcPr>
            <w:tcW w:w="1692" w:type="dxa"/>
            <w:shd w:val="clear" w:color="auto" w:fill="D9D9D9" w:themeFill="background1" w:themeFillShade="D9"/>
          </w:tcPr>
          <w:p w14:paraId="0287CC58" w14:textId="3267F92E"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ED-associated initial diagnoses</w:t>
            </w:r>
            <w:r w:rsidRPr="008714C3">
              <w:rPr>
                <w:rFonts w:cstheme="minorHAnsi"/>
                <w:b/>
                <w:sz w:val="16"/>
                <w:szCs w:val="16"/>
                <w:lang w:val="en-GB"/>
              </w:rPr>
              <w:t xml:space="preserve"> </w:t>
            </w:r>
            <w:r w:rsidRPr="008714C3">
              <w:rPr>
                <w:rFonts w:cstheme="minorHAnsi"/>
                <w:sz w:val="16"/>
                <w:szCs w:val="16"/>
                <w:lang w:val="en-GB"/>
              </w:rPr>
              <w:t>(of cancer)</w:t>
            </w:r>
          </w:p>
        </w:tc>
        <w:tc>
          <w:tcPr>
            <w:tcW w:w="1934" w:type="dxa"/>
            <w:shd w:val="clear" w:color="auto" w:fill="D9D9D9" w:themeFill="background1" w:themeFillShade="D9"/>
          </w:tcPr>
          <w:p w14:paraId="59CF1AF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 xml:space="preserve">Insurance status </w:t>
            </w:r>
          </w:p>
          <w:p w14:paraId="794AA44F"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2EB6F87B" w14:textId="3F8E737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a. Medicaid, </w:t>
            </w:r>
            <w:r w:rsidRPr="008714C3">
              <w:rPr>
                <w:rFonts w:cstheme="minorHAnsi"/>
                <w:b/>
                <w:sz w:val="16"/>
                <w:szCs w:val="16"/>
                <w:lang w:val="en-GB"/>
              </w:rPr>
              <w:br/>
              <w:t xml:space="preserve">b. Medicare </w:t>
            </w:r>
            <w:r w:rsidRPr="008714C3">
              <w:rPr>
                <w:rFonts w:cstheme="minorHAnsi"/>
                <w:b/>
                <w:sz w:val="16"/>
                <w:szCs w:val="16"/>
                <w:lang w:val="en-GB"/>
              </w:rPr>
              <w:br/>
              <w:t>c. Uninsured</w:t>
            </w:r>
          </w:p>
        </w:tc>
        <w:tc>
          <w:tcPr>
            <w:tcW w:w="1955" w:type="dxa"/>
            <w:shd w:val="clear" w:color="auto" w:fill="D9D9D9" w:themeFill="background1" w:themeFillShade="D9"/>
          </w:tcPr>
          <w:p w14:paraId="56EFA2E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Relative risk (95%CI)</w:t>
            </w:r>
          </w:p>
          <w:p w14:paraId="424A0EA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3.10 (1.87-5.39)</w:t>
            </w:r>
          </w:p>
          <w:p w14:paraId="2E20EB1F"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4.35 (2.63-7.54)</w:t>
            </w:r>
          </w:p>
          <w:p w14:paraId="3C67419D" w14:textId="3FE8BE8E"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c. 2.67 (1.60-4.65)</w:t>
            </w:r>
          </w:p>
        </w:tc>
        <w:tc>
          <w:tcPr>
            <w:tcW w:w="2218" w:type="dxa"/>
            <w:shd w:val="clear" w:color="auto" w:fill="D9D9D9" w:themeFill="background1" w:themeFillShade="D9"/>
          </w:tcPr>
          <w:p w14:paraId="604CF4B2" w14:textId="6D20F9D6"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There is a </w:t>
            </w:r>
            <w:r w:rsidR="00573FD0" w:rsidRPr="008714C3">
              <w:rPr>
                <w:rFonts w:cstheme="minorHAnsi"/>
                <w:sz w:val="16"/>
                <w:szCs w:val="16"/>
                <w:lang w:val="en-GB"/>
              </w:rPr>
              <w:t xml:space="preserve">significant </w:t>
            </w:r>
            <w:r w:rsidRPr="008714C3">
              <w:rPr>
                <w:rFonts w:cstheme="minorHAnsi"/>
                <w:sz w:val="16"/>
                <w:szCs w:val="16"/>
                <w:lang w:val="en-GB"/>
              </w:rPr>
              <w:t xml:space="preserve">relationship between health insurance and ED-associated initial cancer diagnosis. </w:t>
            </w:r>
          </w:p>
        </w:tc>
      </w:tr>
      <w:tr w:rsidR="008714C3" w:rsidRPr="00A7168F" w14:paraId="74333428"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2B21258E" w14:textId="77777777" w:rsidR="00657CE3" w:rsidRPr="008714C3" w:rsidRDefault="00657CE3" w:rsidP="00657CE3">
            <w:pPr>
              <w:rPr>
                <w:rFonts w:cstheme="minorHAnsi"/>
                <w:sz w:val="16"/>
                <w:szCs w:val="16"/>
                <w:lang w:val="en-GB"/>
              </w:rPr>
            </w:pPr>
            <w:proofErr w:type="spellStart"/>
            <w:r w:rsidRPr="008714C3">
              <w:rPr>
                <w:rFonts w:cstheme="minorHAnsi"/>
                <w:sz w:val="16"/>
                <w:szCs w:val="16"/>
                <w:lang w:val="en-GB"/>
              </w:rPr>
              <w:t>Mazurenko</w:t>
            </w:r>
            <w:proofErr w:type="spellEnd"/>
            <w:r w:rsidRPr="008714C3">
              <w:rPr>
                <w:rFonts w:cstheme="minorHAnsi"/>
                <w:sz w:val="16"/>
                <w:szCs w:val="16"/>
                <w:lang w:val="en-GB"/>
              </w:rPr>
              <w:t>, O., et al.</w:t>
            </w:r>
          </w:p>
          <w:p w14:paraId="31AA8FBB" w14:textId="77777777" w:rsidR="00657CE3" w:rsidRPr="008714C3" w:rsidRDefault="00657CE3" w:rsidP="00657CE3">
            <w:pPr>
              <w:rPr>
                <w:rFonts w:cstheme="minorHAnsi"/>
                <w:sz w:val="16"/>
                <w:szCs w:val="16"/>
                <w:lang w:val="en-GB"/>
              </w:rPr>
            </w:pPr>
            <w:r w:rsidRPr="008714C3">
              <w:rPr>
                <w:rFonts w:cstheme="minorHAnsi"/>
                <w:sz w:val="16"/>
                <w:szCs w:val="16"/>
                <w:lang w:val="en-GB"/>
              </w:rPr>
              <w:t>2010</w:t>
            </w:r>
          </w:p>
          <w:p w14:paraId="251295FA" w14:textId="7758B5EC"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55107089" w14:textId="48789970" w:rsidR="00657CE3" w:rsidRPr="008714C3" w:rsidRDefault="00657CE3" w:rsidP="00573FD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Retrospective </w:t>
            </w:r>
            <w:r w:rsidR="00573FD0" w:rsidRPr="008714C3">
              <w:rPr>
                <w:rFonts w:cstheme="minorHAnsi"/>
                <w:sz w:val="16"/>
                <w:szCs w:val="16"/>
                <w:lang w:val="en-GB"/>
              </w:rPr>
              <w:t xml:space="preserve">pre/post </w:t>
            </w:r>
            <w:r w:rsidRPr="008714C3">
              <w:rPr>
                <w:rFonts w:cstheme="minorHAnsi"/>
                <w:sz w:val="16"/>
                <w:szCs w:val="16"/>
                <w:lang w:val="en-GB"/>
              </w:rPr>
              <w:t xml:space="preserve">cohort study </w:t>
            </w:r>
          </w:p>
        </w:tc>
        <w:tc>
          <w:tcPr>
            <w:tcW w:w="1782" w:type="dxa"/>
            <w:shd w:val="clear" w:color="auto" w:fill="D9D9D9" w:themeFill="background1" w:themeFillShade="D9"/>
          </w:tcPr>
          <w:p w14:paraId="72BA1401" w14:textId="6602F881"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 xml:space="preserve">To examine the impact of Nevada's Medicaid expansion on changes in rates of hospital ED admissions for ACSCs </w:t>
            </w:r>
          </w:p>
        </w:tc>
        <w:tc>
          <w:tcPr>
            <w:tcW w:w="1689" w:type="dxa"/>
            <w:shd w:val="clear" w:color="auto" w:fill="D9D9D9" w:themeFill="background1" w:themeFillShade="D9"/>
          </w:tcPr>
          <w:p w14:paraId="1B044B47"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Patient hospitalized </w:t>
            </w:r>
          </w:p>
          <w:p w14:paraId="0EC8912D"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A. Pre-expansion of Medicaid (n=107,940)</w:t>
            </w:r>
          </w:p>
          <w:p w14:paraId="679E5B34" w14:textId="3F762F88"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B. Post-expansion of Medicaid (n=106,016)</w:t>
            </w:r>
          </w:p>
        </w:tc>
        <w:tc>
          <w:tcPr>
            <w:tcW w:w="1692" w:type="dxa"/>
            <w:shd w:val="clear" w:color="auto" w:fill="D9D9D9" w:themeFill="background1" w:themeFillShade="D9"/>
          </w:tcPr>
          <w:p w14:paraId="411DC902" w14:textId="340A597C"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 xml:space="preserve">ACSCs Emergency hospital admission </w:t>
            </w:r>
          </w:p>
        </w:tc>
        <w:tc>
          <w:tcPr>
            <w:tcW w:w="1934" w:type="dxa"/>
            <w:shd w:val="clear" w:color="auto" w:fill="D9D9D9" w:themeFill="background1" w:themeFillShade="D9"/>
          </w:tcPr>
          <w:p w14:paraId="2EB539E1" w14:textId="0C17C52A"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Insurance status</w:t>
            </w:r>
            <w:r w:rsidRPr="008714C3">
              <w:rPr>
                <w:rFonts w:cstheme="minorHAnsi"/>
                <w:b/>
                <w:sz w:val="16"/>
                <w:szCs w:val="16"/>
                <w:lang w:val="en-GB"/>
              </w:rPr>
              <w:t xml:space="preserve"> </w:t>
            </w:r>
            <w:r w:rsidRPr="008714C3">
              <w:rPr>
                <w:rFonts w:cstheme="minorHAnsi"/>
                <w:sz w:val="16"/>
                <w:szCs w:val="16"/>
                <w:lang w:val="en-GB"/>
              </w:rPr>
              <w:t>(Medicaid or Uninsured)</w:t>
            </w:r>
          </w:p>
        </w:tc>
        <w:tc>
          <w:tcPr>
            <w:tcW w:w="1955" w:type="dxa"/>
            <w:shd w:val="clear" w:color="auto" w:fill="D9D9D9" w:themeFill="background1" w:themeFillShade="D9"/>
          </w:tcPr>
          <w:p w14:paraId="06F38AF1"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(95%CI)</w:t>
            </w:r>
          </w:p>
          <w:p w14:paraId="4825F93F"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A. 0.50 (0.16-0.83)</w:t>
            </w:r>
          </w:p>
          <w:p w14:paraId="797A32A5" w14:textId="73D7BA7A"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B. 0.62 (0.29-0.94)</w:t>
            </w:r>
          </w:p>
        </w:tc>
        <w:tc>
          <w:tcPr>
            <w:tcW w:w="2218" w:type="dxa"/>
            <w:shd w:val="clear" w:color="auto" w:fill="D9D9D9" w:themeFill="background1" w:themeFillShade="D9"/>
          </w:tcPr>
          <w:p w14:paraId="3619DD4C" w14:textId="251D8A8B"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Uninsured patients are more likely to be admitted through the ED for ACSCs, regardless of Medicaid expansion. </w:t>
            </w:r>
          </w:p>
          <w:p w14:paraId="5FF5CFD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p>
        </w:tc>
      </w:tr>
      <w:tr w:rsidR="008714C3" w:rsidRPr="00A7168F" w14:paraId="2F33F1BA"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194B7392" w14:textId="77777777" w:rsidR="00657CE3" w:rsidRPr="008714C3" w:rsidRDefault="00657CE3" w:rsidP="00657CE3">
            <w:pPr>
              <w:rPr>
                <w:rFonts w:cstheme="minorHAnsi"/>
                <w:sz w:val="16"/>
                <w:szCs w:val="16"/>
                <w:lang w:val="en-GB"/>
              </w:rPr>
            </w:pPr>
            <w:r w:rsidRPr="008714C3">
              <w:rPr>
                <w:rFonts w:cstheme="minorHAnsi"/>
                <w:sz w:val="16"/>
                <w:szCs w:val="16"/>
                <w:lang w:val="en-GB"/>
              </w:rPr>
              <w:t>Metcalfe, D., et al.</w:t>
            </w:r>
          </w:p>
          <w:p w14:paraId="7E9D5C09" w14:textId="77777777" w:rsidR="00657CE3" w:rsidRPr="008714C3" w:rsidRDefault="00657CE3" w:rsidP="00657CE3">
            <w:pPr>
              <w:rPr>
                <w:rFonts w:cstheme="minorHAnsi"/>
                <w:sz w:val="16"/>
                <w:szCs w:val="16"/>
                <w:lang w:val="en-GB"/>
              </w:rPr>
            </w:pPr>
            <w:r w:rsidRPr="008714C3">
              <w:rPr>
                <w:rFonts w:cstheme="minorHAnsi"/>
                <w:sz w:val="16"/>
                <w:szCs w:val="16"/>
                <w:lang w:val="en-GB"/>
              </w:rPr>
              <w:t>2018</w:t>
            </w:r>
          </w:p>
          <w:p w14:paraId="3314634F" w14:textId="75E0C7B7"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3032A597" w14:textId="4B5AC0D3"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22076E2B" w14:textId="7FB3B471" w:rsidR="00657CE3" w:rsidRPr="008714C3" w:rsidRDefault="00657CE3" w:rsidP="00573FD0">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 xml:space="preserve">To identify socioeconomic </w:t>
            </w:r>
            <w:r w:rsidR="009D7CA7" w:rsidRPr="008714C3">
              <w:rPr>
                <w:color w:val="000000"/>
                <w:sz w:val="16"/>
                <w:szCs w:val="16"/>
                <w:lang w:val="en-GB"/>
              </w:rPr>
              <w:t>disparities</w:t>
            </w:r>
            <w:r w:rsidRPr="008714C3">
              <w:rPr>
                <w:color w:val="000000"/>
                <w:sz w:val="16"/>
                <w:szCs w:val="16"/>
                <w:lang w:val="en-GB"/>
              </w:rPr>
              <w:t xml:space="preserve"> in </w:t>
            </w:r>
            <w:r w:rsidR="00573FD0" w:rsidRPr="008714C3">
              <w:rPr>
                <w:color w:val="000000"/>
                <w:sz w:val="16"/>
                <w:szCs w:val="16"/>
                <w:lang w:val="en-GB"/>
              </w:rPr>
              <w:t xml:space="preserve">Emergency General </w:t>
            </w:r>
            <w:r w:rsidR="00573FD0" w:rsidRPr="008714C3">
              <w:rPr>
                <w:color w:val="000000"/>
                <w:sz w:val="16"/>
                <w:szCs w:val="16"/>
                <w:lang w:val="en-GB"/>
              </w:rPr>
              <w:lastRenderedPageBreak/>
              <w:t>Surgery (</w:t>
            </w:r>
            <w:r w:rsidRPr="008714C3">
              <w:rPr>
                <w:color w:val="000000"/>
                <w:sz w:val="16"/>
                <w:szCs w:val="16"/>
                <w:lang w:val="en-GB"/>
              </w:rPr>
              <w:t>EGS</w:t>
            </w:r>
            <w:r w:rsidR="00573FD0" w:rsidRPr="008714C3">
              <w:rPr>
                <w:color w:val="000000"/>
                <w:sz w:val="16"/>
                <w:szCs w:val="16"/>
                <w:lang w:val="en-GB"/>
              </w:rPr>
              <w:t>)</w:t>
            </w:r>
            <w:r w:rsidRPr="008714C3">
              <w:rPr>
                <w:color w:val="000000"/>
                <w:sz w:val="16"/>
                <w:szCs w:val="16"/>
                <w:lang w:val="en-GB"/>
              </w:rPr>
              <w:t xml:space="preserve"> and whether they are more likely to be </w:t>
            </w:r>
            <w:r w:rsidR="00573FD0" w:rsidRPr="008714C3">
              <w:rPr>
                <w:color w:val="000000"/>
                <w:sz w:val="16"/>
                <w:szCs w:val="16"/>
                <w:lang w:val="en-GB"/>
              </w:rPr>
              <w:t>associated with</w:t>
            </w:r>
            <w:r w:rsidRPr="008714C3">
              <w:rPr>
                <w:color w:val="000000"/>
                <w:sz w:val="16"/>
                <w:szCs w:val="16"/>
                <w:lang w:val="en-GB"/>
              </w:rPr>
              <w:t xml:space="preserve"> major adverse events (MAEs) or </w:t>
            </w:r>
            <w:r w:rsidR="00573FD0" w:rsidRPr="008714C3">
              <w:rPr>
                <w:color w:val="000000"/>
                <w:sz w:val="16"/>
                <w:szCs w:val="16"/>
                <w:lang w:val="en-GB"/>
              </w:rPr>
              <w:t xml:space="preserve">a </w:t>
            </w:r>
            <w:r w:rsidRPr="008714C3">
              <w:rPr>
                <w:color w:val="000000"/>
                <w:sz w:val="16"/>
                <w:szCs w:val="16"/>
                <w:lang w:val="en-GB"/>
              </w:rPr>
              <w:t xml:space="preserve">failure to </w:t>
            </w:r>
            <w:proofErr w:type="gramStart"/>
            <w:r w:rsidRPr="008714C3">
              <w:rPr>
                <w:color w:val="000000"/>
                <w:sz w:val="16"/>
                <w:szCs w:val="16"/>
                <w:lang w:val="en-GB"/>
              </w:rPr>
              <w:t xml:space="preserve">respond </w:t>
            </w:r>
            <w:r w:rsidR="00573FD0" w:rsidRPr="008714C3">
              <w:rPr>
                <w:color w:val="000000"/>
                <w:sz w:val="16"/>
                <w:szCs w:val="16"/>
                <w:lang w:val="en-GB"/>
              </w:rPr>
              <w:t xml:space="preserve"> (</w:t>
            </w:r>
            <w:proofErr w:type="gramEnd"/>
            <w:r w:rsidR="00573FD0" w:rsidRPr="008714C3">
              <w:rPr>
                <w:color w:val="000000"/>
                <w:sz w:val="16"/>
                <w:szCs w:val="16"/>
                <w:lang w:val="en-GB"/>
              </w:rPr>
              <w:t xml:space="preserve">FTR) </w:t>
            </w:r>
            <w:r w:rsidRPr="008714C3">
              <w:rPr>
                <w:color w:val="000000"/>
                <w:sz w:val="16"/>
                <w:szCs w:val="16"/>
                <w:lang w:val="en-GB"/>
              </w:rPr>
              <w:t>appropriately to such events</w:t>
            </w:r>
          </w:p>
        </w:tc>
        <w:tc>
          <w:tcPr>
            <w:tcW w:w="1689" w:type="dxa"/>
            <w:shd w:val="clear" w:color="auto" w:fill="D9D9D9" w:themeFill="background1" w:themeFillShade="D9"/>
          </w:tcPr>
          <w:p w14:paraId="121A3912" w14:textId="7861EA28"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lastRenderedPageBreak/>
              <w:t>Patients presenting EGS with acute surgical conditions (n=1,345,199)</w:t>
            </w:r>
          </w:p>
        </w:tc>
        <w:tc>
          <w:tcPr>
            <w:tcW w:w="1692" w:type="dxa"/>
            <w:shd w:val="clear" w:color="auto" w:fill="D9D9D9" w:themeFill="background1" w:themeFillShade="D9"/>
          </w:tcPr>
          <w:p w14:paraId="74CA0FFE"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1.Major adverse events</w:t>
            </w:r>
            <w:r w:rsidRPr="008714C3">
              <w:rPr>
                <w:rFonts w:cstheme="minorHAnsi"/>
                <w:b/>
                <w:sz w:val="16"/>
                <w:szCs w:val="16"/>
                <w:lang w:val="en-GB"/>
              </w:rPr>
              <w:t xml:space="preserve"> </w:t>
            </w:r>
            <w:r w:rsidRPr="008714C3">
              <w:rPr>
                <w:rFonts w:cstheme="minorHAnsi"/>
                <w:sz w:val="16"/>
                <w:szCs w:val="16"/>
                <w:lang w:val="en-GB"/>
              </w:rPr>
              <w:t>(MAEs)</w:t>
            </w:r>
            <w:r w:rsidRPr="008714C3">
              <w:rPr>
                <w:rFonts w:cstheme="minorHAnsi"/>
                <w:b/>
                <w:sz w:val="16"/>
                <w:szCs w:val="16"/>
                <w:lang w:val="en-GB"/>
              </w:rPr>
              <w:t xml:space="preserve"> </w:t>
            </w:r>
            <w:r w:rsidRPr="008714C3">
              <w:rPr>
                <w:rStyle w:val="Appelnotedebasdep"/>
                <w:rFonts w:cstheme="minorHAnsi"/>
                <w:b/>
                <w:sz w:val="16"/>
                <w:szCs w:val="16"/>
                <w:lang w:val="en-GB"/>
              </w:rPr>
              <w:footnoteReference w:id="4"/>
            </w:r>
          </w:p>
          <w:p w14:paraId="06D46788"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 xml:space="preserve">2. In-hospital mortality </w:t>
            </w:r>
          </w:p>
          <w:p w14:paraId="130C2C07" w14:textId="1D94816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lastRenderedPageBreak/>
              <w:t>3. Failure to rescue</w:t>
            </w:r>
            <w:r w:rsidRPr="008714C3">
              <w:rPr>
                <w:rFonts w:cstheme="minorHAnsi"/>
                <w:b/>
                <w:sz w:val="16"/>
                <w:szCs w:val="16"/>
                <w:lang w:val="en-GB"/>
              </w:rPr>
              <w:t xml:space="preserve"> </w:t>
            </w:r>
            <w:r w:rsidRPr="008714C3">
              <w:rPr>
                <w:rFonts w:cstheme="minorHAnsi"/>
                <w:sz w:val="16"/>
                <w:szCs w:val="16"/>
                <w:lang w:val="en-GB"/>
              </w:rPr>
              <w:t>(FTR)</w:t>
            </w:r>
            <w:r w:rsidRPr="008714C3">
              <w:rPr>
                <w:rStyle w:val="Appelnotedebasdep"/>
                <w:rFonts w:cstheme="minorHAnsi"/>
                <w:sz w:val="16"/>
                <w:szCs w:val="16"/>
                <w:lang w:val="en-GB"/>
              </w:rPr>
              <w:footnoteReference w:id="5"/>
            </w:r>
          </w:p>
        </w:tc>
        <w:tc>
          <w:tcPr>
            <w:tcW w:w="1934" w:type="dxa"/>
            <w:shd w:val="clear" w:color="auto" w:fill="D9D9D9" w:themeFill="background1" w:themeFillShade="D9"/>
          </w:tcPr>
          <w:p w14:paraId="2F388F1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lastRenderedPageBreak/>
              <w:t>Insurance status</w:t>
            </w:r>
          </w:p>
          <w:p w14:paraId="27D57796"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43598B5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Public</w:t>
            </w:r>
          </w:p>
          <w:p w14:paraId="5D44286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Uninsured</w:t>
            </w:r>
          </w:p>
          <w:p w14:paraId="5501BCC4"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55" w:type="dxa"/>
            <w:shd w:val="clear" w:color="auto" w:fill="D9D9D9" w:themeFill="background1" w:themeFillShade="D9"/>
          </w:tcPr>
          <w:p w14:paraId="1ACEEB69"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proofErr w:type="spellStart"/>
            <w:r w:rsidRPr="00F03413">
              <w:rPr>
                <w:rFonts w:cstheme="minorHAnsi"/>
                <w:b/>
                <w:sz w:val="16"/>
                <w:szCs w:val="16"/>
                <w:lang w:val="it-IT"/>
              </w:rPr>
              <w:lastRenderedPageBreak/>
              <w:t>Odds</w:t>
            </w:r>
            <w:proofErr w:type="spellEnd"/>
            <w:r w:rsidRPr="00F03413">
              <w:rPr>
                <w:rFonts w:cstheme="minorHAnsi"/>
                <w:b/>
                <w:sz w:val="16"/>
                <w:szCs w:val="16"/>
                <w:lang w:val="it-IT"/>
              </w:rPr>
              <w:t xml:space="preserve"> ratio (95% CI)</w:t>
            </w:r>
          </w:p>
          <w:p w14:paraId="0F29D584"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1.a. 1.18 (1.16-1.20)</w:t>
            </w:r>
          </w:p>
          <w:p w14:paraId="52F0EF89"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1.b. 1.16 (1.13-1.19)</w:t>
            </w:r>
          </w:p>
          <w:p w14:paraId="002238A9"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2.a. 0.96 (0.92-1.01)</w:t>
            </w:r>
          </w:p>
          <w:p w14:paraId="3BE44F5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lastRenderedPageBreak/>
              <w:t>2.b. 1.28 (1.16-1.41)</w:t>
            </w:r>
          </w:p>
          <w:p w14:paraId="40C55D7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3.a. 1.01 (0.95-1.07)</w:t>
            </w:r>
          </w:p>
          <w:p w14:paraId="3EB39C32" w14:textId="6E9F1BFB"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3.b. 1.20 (1.06-1.36)</w:t>
            </w:r>
          </w:p>
        </w:tc>
        <w:tc>
          <w:tcPr>
            <w:tcW w:w="2218" w:type="dxa"/>
            <w:shd w:val="clear" w:color="auto" w:fill="D9D9D9" w:themeFill="background1" w:themeFillShade="D9"/>
          </w:tcPr>
          <w:p w14:paraId="69015B26" w14:textId="7958BD73"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lastRenderedPageBreak/>
              <w:t xml:space="preserve">Lack of insurance is an independent risk factor for in-hospital mortality, due to both excess MAEs and FTR. </w:t>
            </w:r>
          </w:p>
          <w:p w14:paraId="0B7C00B6"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tc>
      </w:tr>
      <w:tr w:rsidR="00657CE3" w:rsidRPr="008714C3" w14:paraId="1EC18EF7" w14:textId="77777777" w:rsidTr="00CF087A">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22DA06A5" w14:textId="4E06A7CB" w:rsidR="00657CE3" w:rsidRPr="008714C3" w:rsidRDefault="00802901" w:rsidP="00657CE3">
            <w:pPr>
              <w:tabs>
                <w:tab w:val="left" w:pos="8041"/>
              </w:tabs>
              <w:rPr>
                <w:rFonts w:cstheme="minorHAnsi"/>
                <w:sz w:val="16"/>
                <w:szCs w:val="16"/>
                <w:lang w:val="en-GB"/>
              </w:rPr>
            </w:pPr>
            <w:r w:rsidRPr="008714C3">
              <w:rPr>
                <w:rFonts w:cstheme="minorHAnsi"/>
                <w:sz w:val="16"/>
                <w:szCs w:val="16"/>
                <w:lang w:val="en-GB"/>
              </w:rPr>
              <w:lastRenderedPageBreak/>
              <w:t>SOCIAL DEPRIVATION</w:t>
            </w:r>
            <w:r w:rsidR="00657CE3" w:rsidRPr="008714C3">
              <w:rPr>
                <w:rFonts w:cstheme="minorHAnsi"/>
                <w:sz w:val="16"/>
                <w:szCs w:val="16"/>
                <w:lang w:val="en-GB"/>
              </w:rPr>
              <w:tab/>
            </w:r>
          </w:p>
          <w:p w14:paraId="59FECB13" w14:textId="0D21F9A8" w:rsidR="00657CE3" w:rsidRPr="008714C3" w:rsidRDefault="00657CE3" w:rsidP="00657CE3">
            <w:pPr>
              <w:tabs>
                <w:tab w:val="left" w:pos="8041"/>
              </w:tabs>
              <w:rPr>
                <w:rFonts w:cstheme="minorHAnsi"/>
                <w:sz w:val="16"/>
                <w:szCs w:val="16"/>
                <w:lang w:val="en-GB"/>
              </w:rPr>
            </w:pPr>
          </w:p>
        </w:tc>
      </w:tr>
      <w:tr w:rsidR="008714C3" w:rsidRPr="00A7168F" w14:paraId="64FC08CB"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67B87A9" w14:textId="77777777" w:rsidR="00CD0E3E" w:rsidRPr="008714C3" w:rsidRDefault="00CD0E3E" w:rsidP="00CD0E3E">
            <w:pPr>
              <w:rPr>
                <w:rFonts w:cstheme="minorHAnsi"/>
                <w:sz w:val="16"/>
                <w:szCs w:val="16"/>
                <w:lang w:val="en-GB"/>
              </w:rPr>
            </w:pPr>
            <w:r w:rsidRPr="008714C3">
              <w:rPr>
                <w:rFonts w:cstheme="minorHAnsi"/>
                <w:sz w:val="16"/>
                <w:szCs w:val="16"/>
                <w:lang w:val="en-GB"/>
              </w:rPr>
              <w:t>Cookson, R., et al.</w:t>
            </w:r>
          </w:p>
          <w:p w14:paraId="3C102A73" w14:textId="77777777" w:rsidR="00CD0E3E" w:rsidRPr="008714C3" w:rsidRDefault="00CD0E3E" w:rsidP="00CD0E3E">
            <w:pPr>
              <w:rPr>
                <w:rFonts w:cstheme="minorHAnsi"/>
                <w:sz w:val="16"/>
                <w:szCs w:val="16"/>
                <w:lang w:val="en-GB"/>
              </w:rPr>
            </w:pPr>
            <w:r w:rsidRPr="008714C3">
              <w:rPr>
                <w:rFonts w:cstheme="minorHAnsi"/>
                <w:sz w:val="16"/>
                <w:szCs w:val="16"/>
                <w:lang w:val="en-GB"/>
              </w:rPr>
              <w:t>2018</w:t>
            </w:r>
          </w:p>
          <w:p w14:paraId="0198CD6C" w14:textId="53393F44" w:rsidR="00CD0E3E" w:rsidRPr="008714C3" w:rsidRDefault="00CD0E3E" w:rsidP="00CD0E3E">
            <w:pPr>
              <w:rPr>
                <w:rFonts w:cstheme="minorHAnsi"/>
                <w:color w:val="000000"/>
                <w:sz w:val="16"/>
                <w:szCs w:val="16"/>
                <w:lang w:val="en-GB"/>
              </w:rPr>
            </w:pPr>
            <w:r w:rsidRPr="008714C3">
              <w:rPr>
                <w:rFonts w:cstheme="minorHAnsi"/>
                <w:sz w:val="16"/>
                <w:szCs w:val="16"/>
                <w:lang w:val="en-GB"/>
              </w:rPr>
              <w:t>United Kingdom</w:t>
            </w:r>
          </w:p>
        </w:tc>
        <w:tc>
          <w:tcPr>
            <w:tcW w:w="1485" w:type="dxa"/>
            <w:shd w:val="clear" w:color="auto" w:fill="D9D9D9" w:themeFill="background1" w:themeFillShade="D9"/>
          </w:tcPr>
          <w:p w14:paraId="5E0D6899" w14:textId="563CE41A"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Whole-population study at the small-area level</w:t>
            </w:r>
          </w:p>
        </w:tc>
        <w:tc>
          <w:tcPr>
            <w:tcW w:w="1782" w:type="dxa"/>
            <w:shd w:val="clear" w:color="auto" w:fill="D9D9D9" w:themeFill="background1" w:themeFillShade="D9"/>
          </w:tcPr>
          <w:p w14:paraId="4372908C" w14:textId="5BAC25A4"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To present a new and improved analytical approach to integrating health equity into mainstream healthcare quality assurance</w:t>
            </w:r>
          </w:p>
        </w:tc>
        <w:tc>
          <w:tcPr>
            <w:tcW w:w="1689" w:type="dxa"/>
            <w:shd w:val="clear" w:color="auto" w:fill="D9D9D9" w:themeFill="background1" w:themeFillShade="D9"/>
          </w:tcPr>
          <w:p w14:paraId="5AD6237B" w14:textId="77777777"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Clinical Commissioning Groups-Lower Super Output area (CCG-LSOA)</w:t>
            </w:r>
            <w:r w:rsidRPr="008714C3">
              <w:rPr>
                <w:rStyle w:val="Appelnotedebasdep"/>
                <w:rFonts w:cstheme="minorHAnsi"/>
                <w:sz w:val="16"/>
                <w:szCs w:val="16"/>
                <w:lang w:val="en-GB"/>
              </w:rPr>
              <w:footnoteReference w:id="6"/>
            </w:r>
          </w:p>
          <w:p w14:paraId="641C055D" w14:textId="77777777"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(CCGs, n=209)</w:t>
            </w:r>
          </w:p>
          <w:p w14:paraId="1D201D6F" w14:textId="2206BF44"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(LSOAs, n=32,844)</w:t>
            </w:r>
          </w:p>
        </w:tc>
        <w:tc>
          <w:tcPr>
            <w:tcW w:w="1692" w:type="dxa"/>
            <w:shd w:val="clear" w:color="auto" w:fill="D9D9D9" w:themeFill="background1" w:themeFillShade="D9"/>
          </w:tcPr>
          <w:p w14:paraId="0F0C5909" w14:textId="77777777"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Potentially avoidable emergency admissions</w:t>
            </w:r>
          </w:p>
          <w:p w14:paraId="7415E53E" w14:textId="23CAE9EB" w:rsidR="00CD0E3E" w:rsidRPr="008714C3" w:rsidRDefault="00CD0E3E" w:rsidP="004E517C">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34" w:type="dxa"/>
            <w:shd w:val="clear" w:color="auto" w:fill="D9D9D9" w:themeFill="background1" w:themeFillShade="D9"/>
          </w:tcPr>
          <w:p w14:paraId="2FD11FFD" w14:textId="04C4F1FF"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Social deprivation</w:t>
            </w:r>
          </w:p>
          <w:p w14:paraId="434697AD" w14:textId="77777777"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Index of Multiple Deprivation (IMD)</w:t>
            </w:r>
          </w:p>
          <w:p w14:paraId="07086507" w14:textId="5C68E581" w:rsidR="004E517C" w:rsidRPr="008714C3" w:rsidRDefault="004E517C" w:rsidP="00CD0E3E">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(between the most and least deprived </w:t>
            </w:r>
            <w:r w:rsidR="00C45CB4" w:rsidRPr="008714C3">
              <w:rPr>
                <w:rFonts w:cstheme="minorHAnsi"/>
                <w:sz w:val="16"/>
                <w:szCs w:val="16"/>
                <w:lang w:val="en-GB"/>
              </w:rPr>
              <w:t>neighbourhoods</w:t>
            </w:r>
            <w:r w:rsidRPr="008714C3">
              <w:rPr>
                <w:rFonts w:cstheme="minorHAnsi"/>
                <w:sz w:val="16"/>
                <w:szCs w:val="16"/>
                <w:lang w:val="en-GB"/>
              </w:rPr>
              <w:t>)</w:t>
            </w:r>
          </w:p>
        </w:tc>
        <w:tc>
          <w:tcPr>
            <w:tcW w:w="1955" w:type="dxa"/>
            <w:shd w:val="clear" w:color="auto" w:fill="D9D9D9" w:themeFill="background1" w:themeFillShade="D9"/>
          </w:tcPr>
          <w:p w14:paraId="12848940" w14:textId="77777777" w:rsidR="00CD0E3E" w:rsidRPr="008714C3" w:rsidRDefault="00CD0E3E" w:rsidP="00CD0E3E">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Absolute gradient index (95% CI)</w:t>
            </w:r>
          </w:p>
          <w:p w14:paraId="3BA2B71A" w14:textId="51E60B84" w:rsidR="00CD0E3E" w:rsidRPr="008714C3" w:rsidRDefault="004E517C" w:rsidP="00CD0E3E">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927/100,</w:t>
            </w:r>
            <w:r w:rsidR="00CD0E3E" w:rsidRPr="008714C3">
              <w:rPr>
                <w:rFonts w:cstheme="minorHAnsi"/>
                <w:b/>
                <w:sz w:val="16"/>
                <w:szCs w:val="16"/>
                <w:lang w:val="en-GB"/>
              </w:rPr>
              <w:t>000 (912-942)</w:t>
            </w:r>
          </w:p>
          <w:p w14:paraId="6818676D" w14:textId="6C57259A" w:rsidR="004E517C" w:rsidRPr="008714C3" w:rsidRDefault="004E517C" w:rsidP="00CD0E3E">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(The mean rate of potentially avoidable emergency admissions: 792/100,000 people)</w:t>
            </w:r>
          </w:p>
        </w:tc>
        <w:tc>
          <w:tcPr>
            <w:tcW w:w="2218" w:type="dxa"/>
            <w:shd w:val="clear" w:color="auto" w:fill="D9D9D9" w:themeFill="background1" w:themeFillShade="D9"/>
          </w:tcPr>
          <w:p w14:paraId="0B44AF0C" w14:textId="3F39621A" w:rsidR="00CD0E3E" w:rsidRPr="008714C3" w:rsidRDefault="00CD0E3E"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Administrative data on inequality in healthcare quality within similar populations served by different healthcare organizations can provide useful information for healthcare quality assurance. </w:t>
            </w:r>
          </w:p>
        </w:tc>
      </w:tr>
      <w:tr w:rsidR="008714C3" w:rsidRPr="008714C3" w14:paraId="0B9D2C2C"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1D958ABC" w14:textId="019205EA" w:rsidR="00657CE3" w:rsidRPr="008714C3" w:rsidRDefault="00657CE3" w:rsidP="00657CE3">
            <w:pPr>
              <w:rPr>
                <w:rFonts w:cstheme="minorHAnsi"/>
                <w:color w:val="000000"/>
                <w:sz w:val="16"/>
                <w:szCs w:val="16"/>
                <w:lang w:val="en-GB"/>
              </w:rPr>
            </w:pPr>
            <w:r w:rsidRPr="008714C3">
              <w:rPr>
                <w:rFonts w:cstheme="minorHAnsi"/>
                <w:color w:val="000000"/>
                <w:sz w:val="16"/>
                <w:szCs w:val="16"/>
                <w:lang w:val="en-GB"/>
              </w:rPr>
              <w:t>Fairley, L., et al.</w:t>
            </w:r>
          </w:p>
          <w:p w14:paraId="0CF7FF3A" w14:textId="77777777" w:rsidR="00657CE3" w:rsidRPr="008714C3" w:rsidRDefault="00657CE3" w:rsidP="00657CE3">
            <w:pPr>
              <w:rPr>
                <w:rFonts w:cstheme="minorHAnsi"/>
                <w:color w:val="000000"/>
                <w:sz w:val="16"/>
                <w:szCs w:val="16"/>
                <w:lang w:val="en-GB"/>
              </w:rPr>
            </w:pPr>
            <w:r w:rsidRPr="008714C3">
              <w:rPr>
                <w:rFonts w:cstheme="minorHAnsi"/>
                <w:color w:val="000000"/>
                <w:sz w:val="16"/>
                <w:szCs w:val="16"/>
                <w:lang w:val="en-GB"/>
              </w:rPr>
              <w:t>2011</w:t>
            </w:r>
          </w:p>
          <w:p w14:paraId="1CEEEE90" w14:textId="21071F00" w:rsidR="00657CE3" w:rsidRPr="008714C3" w:rsidRDefault="00657CE3" w:rsidP="00657CE3">
            <w:pPr>
              <w:rPr>
                <w:rFonts w:cstheme="minorHAnsi"/>
                <w:sz w:val="16"/>
                <w:szCs w:val="16"/>
                <w:lang w:val="en-GB"/>
              </w:rPr>
            </w:pPr>
            <w:r w:rsidRPr="008714C3">
              <w:rPr>
                <w:rFonts w:cstheme="minorHAnsi"/>
                <w:color w:val="000000"/>
                <w:sz w:val="16"/>
                <w:szCs w:val="16"/>
                <w:lang w:val="en-GB"/>
              </w:rPr>
              <w:t>Scotland (UK)</w:t>
            </w:r>
            <w:r w:rsidRPr="008714C3" w:rsidDel="00B8237D">
              <w:rPr>
                <w:rFonts w:cstheme="minorHAnsi"/>
                <w:color w:val="000000"/>
                <w:sz w:val="16"/>
                <w:szCs w:val="16"/>
                <w:lang w:val="en-GB"/>
              </w:rPr>
              <w:t xml:space="preserve"> </w:t>
            </w:r>
          </w:p>
        </w:tc>
        <w:tc>
          <w:tcPr>
            <w:tcW w:w="1485" w:type="dxa"/>
            <w:shd w:val="clear" w:color="auto" w:fill="D9D9D9" w:themeFill="background1" w:themeFillShade="D9"/>
          </w:tcPr>
          <w:p w14:paraId="293D0F0E"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Longitudinal</w:t>
            </w:r>
          </w:p>
          <w:p w14:paraId="1542C103" w14:textId="26774D9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analysis between 1980 and 2000</w:t>
            </w:r>
          </w:p>
        </w:tc>
        <w:tc>
          <w:tcPr>
            <w:tcW w:w="1782" w:type="dxa"/>
            <w:shd w:val="clear" w:color="auto" w:fill="D9D9D9" w:themeFill="background1" w:themeFillShade="D9"/>
          </w:tcPr>
          <w:p w14:paraId="3CF35A7F" w14:textId="49E7D0C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To examine whether individual social class, area deprivation or both are related to emergency Caesarean sections in Scotland and investigate changes over time</w:t>
            </w:r>
          </w:p>
        </w:tc>
        <w:tc>
          <w:tcPr>
            <w:tcW w:w="1689" w:type="dxa"/>
            <w:shd w:val="clear" w:color="auto" w:fill="D9D9D9" w:themeFill="background1" w:themeFillShade="D9"/>
          </w:tcPr>
          <w:p w14:paraId="5D421E7D"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Women with live singleton birth </w:t>
            </w:r>
          </w:p>
          <w:p w14:paraId="4C988F54" w14:textId="25F351F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A. 1980-1981 (n=133,555)</w:t>
            </w:r>
          </w:p>
          <w:p w14:paraId="13BF7544" w14:textId="2391668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B. 1990-1991 (n=128,933)</w:t>
            </w:r>
          </w:p>
          <w:p w14:paraId="5EE37BC6" w14:textId="253085D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C. 1999-2000 (n=102,285)</w:t>
            </w:r>
          </w:p>
        </w:tc>
        <w:tc>
          <w:tcPr>
            <w:tcW w:w="1692" w:type="dxa"/>
            <w:shd w:val="clear" w:color="auto" w:fill="D9D9D9" w:themeFill="background1" w:themeFillShade="D9"/>
          </w:tcPr>
          <w:p w14:paraId="58103943" w14:textId="7F159A30"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Emergency admission</w:t>
            </w:r>
            <w:r w:rsidRPr="008714C3">
              <w:rPr>
                <w:rFonts w:cstheme="minorHAnsi"/>
                <w:b/>
                <w:sz w:val="16"/>
                <w:szCs w:val="16"/>
                <w:lang w:val="en-GB"/>
              </w:rPr>
              <w:t xml:space="preserve"> </w:t>
            </w:r>
            <w:r w:rsidRPr="008714C3">
              <w:rPr>
                <w:rFonts w:cstheme="minorHAnsi"/>
                <w:sz w:val="16"/>
                <w:szCs w:val="16"/>
                <w:lang w:val="en-GB"/>
              </w:rPr>
              <w:t>(for Caesarean section)</w:t>
            </w:r>
          </w:p>
        </w:tc>
        <w:tc>
          <w:tcPr>
            <w:tcW w:w="1934" w:type="dxa"/>
            <w:shd w:val="clear" w:color="auto" w:fill="D9D9D9" w:themeFill="background1" w:themeFillShade="D9"/>
          </w:tcPr>
          <w:p w14:paraId="6261EF44" w14:textId="0AFAE3BC"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a. </w:t>
            </w:r>
            <w:r w:rsidRPr="008714C3">
              <w:rPr>
                <w:rFonts w:cstheme="minorHAnsi"/>
                <w:b/>
                <w:sz w:val="16"/>
                <w:szCs w:val="16"/>
                <w:u w:val="single"/>
                <w:lang w:val="en-GB"/>
              </w:rPr>
              <w:t>Social class</w:t>
            </w:r>
          </w:p>
          <w:p w14:paraId="55FF6695" w14:textId="0DBEA77F" w:rsidR="00657CE3" w:rsidRPr="008714C3" w:rsidRDefault="001E25E2"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(divided in 6</w:t>
            </w:r>
            <w:r w:rsidR="00C46382" w:rsidRPr="008714C3">
              <w:rPr>
                <w:rFonts w:cstheme="minorHAnsi"/>
                <w:sz w:val="16"/>
                <w:szCs w:val="16"/>
                <w:lang w:val="en-GB"/>
              </w:rPr>
              <w:t xml:space="preserve"> </w:t>
            </w:r>
            <w:r w:rsidRPr="008714C3">
              <w:rPr>
                <w:rFonts w:cstheme="minorHAnsi"/>
                <w:sz w:val="16"/>
                <w:szCs w:val="16"/>
                <w:lang w:val="en-GB"/>
              </w:rPr>
              <w:t>classes</w:t>
            </w:r>
            <w:r w:rsidR="00C46382" w:rsidRPr="008714C3">
              <w:rPr>
                <w:rFonts w:cstheme="minorHAnsi"/>
                <w:sz w:val="16"/>
                <w:szCs w:val="16"/>
                <w:lang w:val="en-GB"/>
              </w:rPr>
              <w:t>)</w:t>
            </w:r>
          </w:p>
          <w:p w14:paraId="7E6D0B62" w14:textId="0FEF274B"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Social deprivation</w:t>
            </w:r>
          </w:p>
          <w:p w14:paraId="0171B37C" w14:textId="2F2A75E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b. Index of area deprivation </w:t>
            </w:r>
            <w:r w:rsidRPr="008714C3">
              <w:rPr>
                <w:rFonts w:cstheme="minorHAnsi"/>
                <w:sz w:val="16"/>
                <w:szCs w:val="16"/>
                <w:lang w:val="en-GB"/>
              </w:rPr>
              <w:t>(Carstairs score)</w:t>
            </w:r>
            <w:r w:rsidRPr="008714C3">
              <w:rPr>
                <w:rStyle w:val="Appelnotedebasdep"/>
                <w:rFonts w:cstheme="minorHAnsi"/>
                <w:sz w:val="16"/>
                <w:szCs w:val="16"/>
                <w:lang w:val="en-GB"/>
              </w:rPr>
              <w:footnoteReference w:id="7"/>
            </w:r>
          </w:p>
        </w:tc>
        <w:tc>
          <w:tcPr>
            <w:tcW w:w="1955" w:type="dxa"/>
            <w:shd w:val="clear" w:color="auto" w:fill="D9D9D9" w:themeFill="background1" w:themeFillShade="D9"/>
          </w:tcPr>
          <w:p w14:paraId="2F883827"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(95%CI)</w:t>
            </w:r>
          </w:p>
          <w:p w14:paraId="17DEF8ED" w14:textId="5B1A8AFA"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A.a</w:t>
            </w:r>
            <w:proofErr w:type="spellEnd"/>
            <w:r w:rsidRPr="00A7168F">
              <w:rPr>
                <w:rFonts w:cstheme="minorHAnsi"/>
                <w:b/>
                <w:sz w:val="16"/>
                <w:szCs w:val="16"/>
              </w:rPr>
              <w:t>. 1.14 (1.04-1.25)</w:t>
            </w:r>
          </w:p>
          <w:p w14:paraId="60005DE2" w14:textId="0DB74486"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A.b</w:t>
            </w:r>
            <w:proofErr w:type="spellEnd"/>
            <w:r w:rsidRPr="00A7168F">
              <w:rPr>
                <w:rFonts w:cstheme="minorHAnsi"/>
                <w:b/>
                <w:sz w:val="16"/>
                <w:szCs w:val="16"/>
              </w:rPr>
              <w:t>. 1.18 (1.05-1.32)</w:t>
            </w:r>
          </w:p>
          <w:p w14:paraId="091E9360" w14:textId="1FBB939D"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B.a. 1.13 (1.04-1.23)</w:t>
            </w:r>
          </w:p>
          <w:p w14:paraId="75088F68" w14:textId="6D2E33AE"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B.b</w:t>
            </w:r>
            <w:proofErr w:type="spellEnd"/>
            <w:r w:rsidRPr="00A7168F">
              <w:rPr>
                <w:rFonts w:cstheme="minorHAnsi"/>
                <w:b/>
                <w:sz w:val="16"/>
                <w:szCs w:val="16"/>
              </w:rPr>
              <w:t>. 1.13 (1.02-1.26)</w:t>
            </w:r>
          </w:p>
          <w:p w14:paraId="64727833" w14:textId="22BDD7EB"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C.a. 1.02 (0.93-1.12)</w:t>
            </w:r>
          </w:p>
          <w:p w14:paraId="01FF3DFE" w14:textId="72842BB2"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C.b. 1.02 (0.93-1.13)</w:t>
            </w:r>
          </w:p>
        </w:tc>
        <w:tc>
          <w:tcPr>
            <w:tcW w:w="2218" w:type="dxa"/>
            <w:shd w:val="clear" w:color="auto" w:fill="D9D9D9" w:themeFill="background1" w:themeFillShade="D9"/>
          </w:tcPr>
          <w:p w14:paraId="37F9F79E" w14:textId="177549ED"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In 1980-81 and 1990-91, both individual social class and area deprivation were associated with emergency </w:t>
            </w:r>
            <w:r w:rsidR="00573FD0" w:rsidRPr="008714C3">
              <w:rPr>
                <w:rFonts w:cstheme="minorHAnsi"/>
                <w:sz w:val="16"/>
                <w:szCs w:val="16"/>
                <w:lang w:val="en-GB"/>
              </w:rPr>
              <w:t>C-</w:t>
            </w:r>
            <w:r w:rsidRPr="008714C3">
              <w:rPr>
                <w:rFonts w:cstheme="minorHAnsi"/>
                <w:sz w:val="16"/>
                <w:szCs w:val="16"/>
                <w:lang w:val="en-GB"/>
              </w:rPr>
              <w:t xml:space="preserve">sections. In 1999-2000, there was no significant </w:t>
            </w:r>
            <w:r w:rsidR="00573FD0" w:rsidRPr="008714C3">
              <w:rPr>
                <w:rFonts w:cstheme="minorHAnsi"/>
                <w:sz w:val="16"/>
                <w:szCs w:val="16"/>
                <w:lang w:val="en-GB"/>
              </w:rPr>
              <w:t>association</w:t>
            </w:r>
            <w:r w:rsidRPr="008714C3">
              <w:rPr>
                <w:rFonts w:cstheme="minorHAnsi"/>
                <w:sz w:val="16"/>
                <w:szCs w:val="16"/>
                <w:lang w:val="en-GB"/>
              </w:rPr>
              <w:t xml:space="preserve">. </w:t>
            </w:r>
          </w:p>
        </w:tc>
      </w:tr>
      <w:tr w:rsidR="008714C3" w:rsidRPr="00A7168F" w14:paraId="634EBB03"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1AEEAD34" w14:textId="385ABBD3" w:rsidR="00657CE3" w:rsidRPr="00F03413" w:rsidRDefault="00657CE3" w:rsidP="00657CE3">
            <w:pPr>
              <w:rPr>
                <w:rFonts w:cstheme="minorHAnsi"/>
                <w:sz w:val="16"/>
                <w:szCs w:val="16"/>
                <w:lang w:val="it-IT"/>
              </w:rPr>
            </w:pPr>
            <w:r w:rsidRPr="00F03413">
              <w:rPr>
                <w:rFonts w:cstheme="minorHAnsi"/>
                <w:sz w:val="16"/>
                <w:szCs w:val="16"/>
                <w:lang w:val="it-IT"/>
              </w:rPr>
              <w:t>Lazzarino, A. I., et al.</w:t>
            </w:r>
          </w:p>
          <w:p w14:paraId="51776D3F" w14:textId="77777777" w:rsidR="00657CE3" w:rsidRPr="008714C3" w:rsidRDefault="00657CE3" w:rsidP="00657CE3">
            <w:pPr>
              <w:rPr>
                <w:rFonts w:cstheme="minorHAnsi"/>
                <w:sz w:val="16"/>
                <w:szCs w:val="16"/>
                <w:lang w:val="en-GB"/>
              </w:rPr>
            </w:pPr>
            <w:r w:rsidRPr="008714C3">
              <w:rPr>
                <w:rFonts w:cstheme="minorHAnsi"/>
                <w:sz w:val="16"/>
                <w:szCs w:val="16"/>
                <w:lang w:val="en-GB"/>
              </w:rPr>
              <w:t>2011</w:t>
            </w:r>
          </w:p>
          <w:p w14:paraId="25ADC492" w14:textId="6DA6F40F" w:rsidR="00657CE3" w:rsidRPr="008714C3" w:rsidRDefault="00657CE3" w:rsidP="00657CE3">
            <w:pPr>
              <w:rPr>
                <w:rFonts w:cstheme="minorHAnsi"/>
                <w:sz w:val="16"/>
                <w:szCs w:val="16"/>
                <w:lang w:val="en-GB"/>
              </w:rPr>
            </w:pPr>
            <w:r w:rsidRPr="008714C3">
              <w:rPr>
                <w:rFonts w:cstheme="minorHAnsi"/>
                <w:sz w:val="16"/>
                <w:szCs w:val="16"/>
                <w:lang w:val="en-GB"/>
              </w:rPr>
              <w:t>United Kingdom</w:t>
            </w:r>
          </w:p>
        </w:tc>
        <w:tc>
          <w:tcPr>
            <w:tcW w:w="1485" w:type="dxa"/>
            <w:shd w:val="clear" w:color="auto" w:fill="D9D9D9" w:themeFill="background1" w:themeFillShade="D9"/>
          </w:tcPr>
          <w:p w14:paraId="165AEAD6" w14:textId="38EDCC0D"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38EFC665" w14:textId="6AAA7E8F" w:rsidR="00657CE3" w:rsidRPr="008714C3" w:rsidRDefault="00657CE3" w:rsidP="00573FD0">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 xml:space="preserve">To identify any stroke patient groups being excluded from appropriate use of </w:t>
            </w:r>
            <w:r w:rsidR="00573FD0" w:rsidRPr="008714C3">
              <w:rPr>
                <w:color w:val="000000"/>
                <w:sz w:val="16"/>
                <w:szCs w:val="16"/>
                <w:lang w:val="en-GB"/>
              </w:rPr>
              <w:t>b</w:t>
            </w:r>
            <w:r w:rsidRPr="008714C3">
              <w:rPr>
                <w:color w:val="000000"/>
                <w:sz w:val="16"/>
                <w:szCs w:val="16"/>
                <w:lang w:val="en-GB"/>
              </w:rPr>
              <w:t>rain</w:t>
            </w:r>
            <w:r w:rsidR="00573FD0" w:rsidRPr="008714C3">
              <w:rPr>
                <w:color w:val="000000"/>
                <w:sz w:val="16"/>
                <w:szCs w:val="16"/>
                <w:lang w:val="en-GB"/>
              </w:rPr>
              <w:t xml:space="preserve"> i</w:t>
            </w:r>
            <w:r w:rsidRPr="008714C3">
              <w:rPr>
                <w:color w:val="000000"/>
                <w:sz w:val="16"/>
                <w:szCs w:val="16"/>
                <w:lang w:val="en-GB"/>
              </w:rPr>
              <w:t xml:space="preserve">maging </w:t>
            </w:r>
            <w:r w:rsidR="00573FD0" w:rsidRPr="008714C3">
              <w:rPr>
                <w:color w:val="000000"/>
                <w:sz w:val="16"/>
                <w:szCs w:val="16"/>
                <w:lang w:val="en-GB"/>
              </w:rPr>
              <w:t>based on levels of social deprivation</w:t>
            </w:r>
          </w:p>
        </w:tc>
        <w:tc>
          <w:tcPr>
            <w:tcW w:w="1689" w:type="dxa"/>
            <w:shd w:val="clear" w:color="auto" w:fill="D9D9D9" w:themeFill="background1" w:themeFillShade="D9"/>
          </w:tcPr>
          <w:p w14:paraId="619AE270" w14:textId="15A34A70"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Patients with a principal emergency admission diagnosis of stroke (n=209,174)</w:t>
            </w:r>
          </w:p>
        </w:tc>
        <w:tc>
          <w:tcPr>
            <w:tcW w:w="1692" w:type="dxa"/>
            <w:shd w:val="clear" w:color="auto" w:fill="D9D9D9" w:themeFill="background1" w:themeFillShade="D9"/>
          </w:tcPr>
          <w:p w14:paraId="346B75FE"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Specific procedure</w:t>
            </w:r>
            <w:r w:rsidRPr="008714C3">
              <w:rPr>
                <w:rFonts w:cstheme="minorHAnsi"/>
                <w:b/>
                <w:sz w:val="16"/>
                <w:szCs w:val="16"/>
                <w:lang w:val="en-GB"/>
              </w:rPr>
              <w:t xml:space="preserve"> 1. Brain scan, at any time</w:t>
            </w:r>
          </w:p>
          <w:p w14:paraId="0DEDC30C" w14:textId="199A59CF"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 Brain scan on the same day of admission</w:t>
            </w:r>
          </w:p>
        </w:tc>
        <w:tc>
          <w:tcPr>
            <w:tcW w:w="1934" w:type="dxa"/>
            <w:shd w:val="clear" w:color="auto" w:fill="D9D9D9" w:themeFill="background1" w:themeFillShade="D9"/>
          </w:tcPr>
          <w:p w14:paraId="42D75606" w14:textId="1C3502EB"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Social deprivation</w:t>
            </w:r>
          </w:p>
          <w:p w14:paraId="41196531"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lang w:val="en-GB"/>
              </w:rPr>
              <w:t>Index of area</w:t>
            </w:r>
            <w:r w:rsidRPr="008714C3">
              <w:rPr>
                <w:rFonts w:cstheme="minorHAnsi"/>
                <w:b/>
                <w:sz w:val="16"/>
                <w:szCs w:val="16"/>
                <w:u w:val="single"/>
                <w:lang w:val="en-GB"/>
              </w:rPr>
              <w:t xml:space="preserve"> </w:t>
            </w:r>
            <w:r w:rsidRPr="008714C3">
              <w:rPr>
                <w:rFonts w:cstheme="minorHAnsi"/>
                <w:b/>
                <w:sz w:val="16"/>
                <w:szCs w:val="16"/>
                <w:lang w:val="en-GB"/>
              </w:rPr>
              <w:t xml:space="preserve">deprivation </w:t>
            </w:r>
            <w:r w:rsidRPr="008714C3">
              <w:rPr>
                <w:rFonts w:cstheme="minorHAnsi"/>
                <w:sz w:val="16"/>
                <w:szCs w:val="16"/>
                <w:lang w:val="en-GB"/>
              </w:rPr>
              <w:t>(Carstairs score, in 5 quartiles)</w:t>
            </w:r>
            <w:r w:rsidRPr="008714C3">
              <w:rPr>
                <w:rStyle w:val="Appelnotedebasdep"/>
                <w:rFonts w:cstheme="minorHAnsi"/>
                <w:sz w:val="16"/>
                <w:szCs w:val="16"/>
                <w:lang w:val="en-GB"/>
              </w:rPr>
              <w:footnoteReference w:id="8"/>
            </w:r>
          </w:p>
          <w:p w14:paraId="064BDDB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Least deprived)</w:t>
            </w:r>
          </w:p>
          <w:p w14:paraId="2784C7C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Second</w:t>
            </w:r>
          </w:p>
          <w:p w14:paraId="2BF146DB"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Third</w:t>
            </w:r>
          </w:p>
          <w:p w14:paraId="62381B6B"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c. Fourth</w:t>
            </w:r>
          </w:p>
          <w:p w14:paraId="75606D76" w14:textId="1D80CC3D"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d. Most deprived</w:t>
            </w:r>
          </w:p>
        </w:tc>
        <w:tc>
          <w:tcPr>
            <w:tcW w:w="1955" w:type="dxa"/>
            <w:shd w:val="clear" w:color="auto" w:fill="D9D9D9" w:themeFill="background1" w:themeFillShade="D9"/>
          </w:tcPr>
          <w:p w14:paraId="253BE012" w14:textId="31C4BF2B" w:rsidR="00657CE3" w:rsidRPr="00A7168F" w:rsidRDefault="00714A31"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w:t>
            </w:r>
            <w:r w:rsidR="00657CE3" w:rsidRPr="00A7168F">
              <w:rPr>
                <w:rFonts w:cstheme="minorHAnsi"/>
                <w:b/>
                <w:sz w:val="16"/>
                <w:szCs w:val="16"/>
              </w:rPr>
              <w:t>(95%CI)</w:t>
            </w:r>
          </w:p>
          <w:p w14:paraId="050FCC03" w14:textId="54A6513D" w:rsidR="00657CE3" w:rsidRPr="00A7168F" w:rsidRDefault="0015101C"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 xml:space="preserve">1.a. </w:t>
            </w:r>
            <w:r w:rsidR="00657CE3" w:rsidRPr="00A7168F">
              <w:rPr>
                <w:rFonts w:cstheme="minorHAnsi"/>
                <w:b/>
                <w:sz w:val="16"/>
                <w:szCs w:val="16"/>
              </w:rPr>
              <w:t>0.98 (0.92-1.05)</w:t>
            </w:r>
          </w:p>
          <w:p w14:paraId="4A124EC7"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1.b. 0.99 (0.93-1.06)</w:t>
            </w:r>
          </w:p>
          <w:p w14:paraId="3B65114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1.c. 0.99 (0.93-1.06)</w:t>
            </w:r>
          </w:p>
          <w:p w14:paraId="2F5449E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1.d. 0.97 (0.91.1.04)</w:t>
            </w:r>
          </w:p>
          <w:p w14:paraId="4FA3E17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2.a. 0.95 (0.90-1.00)</w:t>
            </w:r>
          </w:p>
          <w:p w14:paraId="5D0E1F3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 0.93 (0.88-0.98)</w:t>
            </w:r>
          </w:p>
          <w:p w14:paraId="01D0AAFF"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2.c. 0.91 (0.86-0.96)</w:t>
            </w:r>
          </w:p>
          <w:p w14:paraId="0F543A5C" w14:textId="3D3CB195"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2.d. 0.94 (0.89-0.99)</w:t>
            </w:r>
          </w:p>
        </w:tc>
        <w:tc>
          <w:tcPr>
            <w:tcW w:w="2218" w:type="dxa"/>
            <w:shd w:val="clear" w:color="auto" w:fill="D9D9D9" w:themeFill="background1" w:themeFillShade="D9"/>
          </w:tcPr>
          <w:p w14:paraId="5C757CC4" w14:textId="09A1D1B5"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More-deprived patients have less chance of being scanned in </w:t>
            </w:r>
            <w:r w:rsidR="00573FD0" w:rsidRPr="008714C3">
              <w:rPr>
                <w:rFonts w:cstheme="minorHAnsi"/>
                <w:sz w:val="16"/>
                <w:szCs w:val="16"/>
                <w:lang w:val="en-GB"/>
              </w:rPr>
              <w:t xml:space="preserve">a </w:t>
            </w:r>
            <w:r w:rsidRPr="008714C3">
              <w:rPr>
                <w:rFonts w:cstheme="minorHAnsi"/>
                <w:sz w:val="16"/>
                <w:szCs w:val="16"/>
                <w:lang w:val="en-GB"/>
              </w:rPr>
              <w:t xml:space="preserve">timely fashion. </w:t>
            </w:r>
          </w:p>
          <w:p w14:paraId="2D4FA3E1"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tc>
      </w:tr>
      <w:tr w:rsidR="008714C3" w:rsidRPr="00A7168F" w14:paraId="6314AD4E"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0FE0FD42" w14:textId="77777777" w:rsidR="00C0699D" w:rsidRPr="00F03413" w:rsidRDefault="00C0699D" w:rsidP="00C0699D">
            <w:pPr>
              <w:rPr>
                <w:rFonts w:cstheme="minorHAnsi"/>
                <w:sz w:val="16"/>
                <w:szCs w:val="16"/>
              </w:rPr>
            </w:pPr>
            <w:r w:rsidRPr="00F03413">
              <w:rPr>
                <w:rFonts w:cstheme="minorHAnsi"/>
                <w:sz w:val="16"/>
                <w:szCs w:val="16"/>
              </w:rPr>
              <w:lastRenderedPageBreak/>
              <w:t>Levin, K. A., et Crighton E. M.</w:t>
            </w:r>
          </w:p>
          <w:p w14:paraId="45608C4A" w14:textId="77777777" w:rsidR="00C0699D" w:rsidRPr="008714C3" w:rsidRDefault="00C0699D" w:rsidP="00C0699D">
            <w:pPr>
              <w:rPr>
                <w:rFonts w:cstheme="minorHAnsi"/>
                <w:sz w:val="16"/>
                <w:szCs w:val="16"/>
                <w:lang w:val="en-GB"/>
              </w:rPr>
            </w:pPr>
            <w:r w:rsidRPr="008714C3">
              <w:rPr>
                <w:rFonts w:cstheme="minorHAnsi"/>
                <w:sz w:val="16"/>
                <w:szCs w:val="16"/>
                <w:lang w:val="en-GB"/>
              </w:rPr>
              <w:t>2017</w:t>
            </w:r>
          </w:p>
          <w:p w14:paraId="676E26DE" w14:textId="23F2DF62" w:rsidR="00C0699D" w:rsidRPr="008714C3" w:rsidRDefault="00C0699D" w:rsidP="00C0699D">
            <w:pPr>
              <w:rPr>
                <w:rFonts w:cstheme="minorHAnsi"/>
                <w:sz w:val="16"/>
                <w:szCs w:val="16"/>
                <w:lang w:val="en-GB"/>
              </w:rPr>
            </w:pPr>
            <w:r w:rsidRPr="008714C3">
              <w:rPr>
                <w:rFonts w:cstheme="minorHAnsi"/>
                <w:sz w:val="16"/>
                <w:szCs w:val="16"/>
                <w:lang w:val="en-GB"/>
              </w:rPr>
              <w:t>United Kingdom</w:t>
            </w:r>
          </w:p>
        </w:tc>
        <w:tc>
          <w:tcPr>
            <w:tcW w:w="1485" w:type="dxa"/>
            <w:shd w:val="clear" w:color="auto" w:fill="D9D9D9" w:themeFill="background1" w:themeFillShade="D9"/>
          </w:tcPr>
          <w:p w14:paraId="07D60033" w14:textId="6D8094F1" w:rsidR="00C0699D" w:rsidRPr="008714C3" w:rsidRDefault="00C0699D" w:rsidP="00C0699D">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Ecological small-area study (during the course of RCOP</w:t>
            </w:r>
            <w:r w:rsidRPr="008714C3">
              <w:rPr>
                <w:rStyle w:val="Appelnotedebasdep"/>
                <w:rFonts w:cstheme="minorHAnsi"/>
                <w:sz w:val="16"/>
                <w:szCs w:val="16"/>
                <w:lang w:val="en-GB"/>
              </w:rPr>
              <w:footnoteReference w:id="9"/>
            </w:r>
            <w:r w:rsidRPr="008714C3">
              <w:rPr>
                <w:rFonts w:cstheme="minorHAnsi"/>
                <w:sz w:val="16"/>
                <w:szCs w:val="16"/>
                <w:lang w:val="en-GB"/>
              </w:rPr>
              <w:t xml:space="preserve"> programme)</w:t>
            </w:r>
          </w:p>
        </w:tc>
        <w:tc>
          <w:tcPr>
            <w:tcW w:w="1782" w:type="dxa"/>
            <w:shd w:val="clear" w:color="auto" w:fill="D9D9D9" w:themeFill="background1" w:themeFillShade="D9"/>
          </w:tcPr>
          <w:p w14:paraId="37D24712" w14:textId="6AA32EB3" w:rsidR="00C0699D" w:rsidRPr="008714C3" w:rsidRDefault="00C0699D" w:rsidP="00C0699D">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To examine mean length of stay (LOS) and rates of emergency bed days during the RCOP in Glasgow City</w:t>
            </w:r>
          </w:p>
        </w:tc>
        <w:tc>
          <w:tcPr>
            <w:tcW w:w="1689" w:type="dxa"/>
            <w:shd w:val="clear" w:color="auto" w:fill="D9D9D9" w:themeFill="background1" w:themeFillShade="D9"/>
          </w:tcPr>
          <w:p w14:paraId="18FD4D44" w14:textId="216432DA" w:rsidR="00C0699D" w:rsidRPr="008714C3" w:rsidRDefault="00C0699D" w:rsidP="00C0699D">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Data zones of household residents of Glasgow City aged 65 years and over</w:t>
            </w:r>
          </w:p>
        </w:tc>
        <w:tc>
          <w:tcPr>
            <w:tcW w:w="1692" w:type="dxa"/>
            <w:shd w:val="clear" w:color="auto" w:fill="D9D9D9" w:themeFill="background1" w:themeFillShade="D9"/>
          </w:tcPr>
          <w:p w14:paraId="302B2261" w14:textId="1656102E"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lang w:val="en-GB"/>
              </w:rPr>
              <w:t xml:space="preserve">1. </w:t>
            </w:r>
            <w:r w:rsidRPr="008714C3">
              <w:rPr>
                <w:rFonts w:cstheme="minorHAnsi"/>
                <w:b/>
                <w:sz w:val="16"/>
                <w:szCs w:val="16"/>
                <w:u w:val="single"/>
                <w:lang w:val="en-GB"/>
              </w:rPr>
              <w:t>Bed days</w:t>
            </w:r>
            <w:r w:rsidRPr="008714C3">
              <w:rPr>
                <w:rFonts w:cstheme="minorHAnsi"/>
                <w:b/>
                <w:sz w:val="16"/>
                <w:szCs w:val="16"/>
                <w:lang w:val="en-GB"/>
              </w:rPr>
              <w:t xml:space="preserve"> </w:t>
            </w:r>
            <w:r w:rsidRPr="008714C3">
              <w:rPr>
                <w:rFonts w:cstheme="minorHAnsi"/>
                <w:sz w:val="16"/>
                <w:szCs w:val="16"/>
                <w:lang w:val="en-GB"/>
              </w:rPr>
              <w:t>(after emergency admission)</w:t>
            </w:r>
          </w:p>
          <w:p w14:paraId="4889E75E" w14:textId="7EB76363" w:rsidR="00C0699D"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2. </w:t>
            </w:r>
            <w:r w:rsidR="00C0699D" w:rsidRPr="008714C3">
              <w:rPr>
                <w:rFonts w:cstheme="minorHAnsi"/>
                <w:b/>
                <w:sz w:val="16"/>
                <w:szCs w:val="16"/>
                <w:u w:val="single"/>
                <w:lang w:val="en-GB"/>
              </w:rPr>
              <w:t>Length of stay</w:t>
            </w:r>
            <w:r w:rsidR="00C0699D" w:rsidRPr="008714C3">
              <w:rPr>
                <w:rFonts w:cstheme="minorHAnsi"/>
                <w:b/>
                <w:sz w:val="16"/>
                <w:szCs w:val="16"/>
                <w:lang w:val="en-GB"/>
              </w:rPr>
              <w:t xml:space="preserve"> </w:t>
            </w:r>
            <w:r w:rsidR="00C0699D" w:rsidRPr="008714C3">
              <w:rPr>
                <w:rFonts w:cstheme="minorHAnsi"/>
                <w:sz w:val="16"/>
                <w:szCs w:val="16"/>
                <w:lang w:val="en-GB"/>
              </w:rPr>
              <w:t>(after emergency admission)</w:t>
            </w:r>
          </w:p>
        </w:tc>
        <w:tc>
          <w:tcPr>
            <w:tcW w:w="1934" w:type="dxa"/>
            <w:shd w:val="clear" w:color="auto" w:fill="D9D9D9" w:themeFill="background1" w:themeFillShade="D9"/>
          </w:tcPr>
          <w:p w14:paraId="114368DD" w14:textId="621AA5F9" w:rsidR="00C0699D" w:rsidRPr="008714C3" w:rsidRDefault="00C0699D"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Social deprivation</w:t>
            </w:r>
          </w:p>
          <w:p w14:paraId="1436BBAF" w14:textId="77777777" w:rsidR="00C0699D" w:rsidRPr="008714C3" w:rsidRDefault="00C0699D"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Index of area deprivation</w:t>
            </w:r>
          </w:p>
          <w:p w14:paraId="5C6CD363" w14:textId="77777777" w:rsidR="005D3E8E" w:rsidRPr="008714C3" w:rsidRDefault="00C0699D"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SIMD</w:t>
            </w:r>
            <w:r w:rsidRPr="008714C3">
              <w:rPr>
                <w:rStyle w:val="Appelnotedebasdep"/>
                <w:rFonts w:cstheme="minorHAnsi"/>
                <w:b/>
                <w:sz w:val="16"/>
                <w:szCs w:val="16"/>
                <w:lang w:val="en-GB"/>
              </w:rPr>
              <w:footnoteReference w:id="10"/>
            </w:r>
            <w:r w:rsidRPr="008714C3">
              <w:rPr>
                <w:rFonts w:cstheme="minorHAnsi"/>
                <w:b/>
                <w:sz w:val="16"/>
                <w:szCs w:val="16"/>
                <w:lang w:val="en-GB"/>
              </w:rPr>
              <w:t xml:space="preserve"> </w:t>
            </w:r>
          </w:p>
          <w:p w14:paraId="65A9774D"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SIMD 1, most deprived)</w:t>
            </w:r>
          </w:p>
          <w:p w14:paraId="4B528FD6" w14:textId="7F2759A9"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SIMD 2</w:t>
            </w:r>
          </w:p>
          <w:p w14:paraId="6D03D413" w14:textId="23A7B31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SIMD 3</w:t>
            </w:r>
          </w:p>
          <w:p w14:paraId="60C4EF9B" w14:textId="738E3538"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c. SIMD 4</w:t>
            </w:r>
          </w:p>
          <w:p w14:paraId="6D7DEDCB" w14:textId="319CAA91" w:rsidR="00C0699D"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d. SIMD 5 (least deprived)</w:t>
            </w:r>
          </w:p>
        </w:tc>
        <w:tc>
          <w:tcPr>
            <w:tcW w:w="1955" w:type="dxa"/>
            <w:shd w:val="clear" w:color="auto" w:fill="D9D9D9" w:themeFill="background1" w:themeFillShade="D9"/>
          </w:tcPr>
          <w:p w14:paraId="0B6AE2BE" w14:textId="77777777" w:rsidR="00C0699D" w:rsidRPr="00F0341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 xml:space="preserve">Relative </w:t>
            </w:r>
            <w:proofErr w:type="spellStart"/>
            <w:r w:rsidRPr="00F03413">
              <w:rPr>
                <w:rFonts w:cstheme="minorHAnsi"/>
                <w:b/>
                <w:sz w:val="16"/>
                <w:szCs w:val="16"/>
                <w:lang w:val="it-IT"/>
              </w:rPr>
              <w:t>risks</w:t>
            </w:r>
            <w:proofErr w:type="spellEnd"/>
            <w:r w:rsidRPr="00F03413">
              <w:rPr>
                <w:rFonts w:cstheme="minorHAnsi"/>
                <w:b/>
                <w:sz w:val="16"/>
                <w:szCs w:val="16"/>
                <w:lang w:val="it-IT"/>
              </w:rPr>
              <w:t xml:space="preserve"> (95% CI)</w:t>
            </w:r>
          </w:p>
          <w:p w14:paraId="7CEF95D0" w14:textId="77777777" w:rsidR="005D3E8E" w:rsidRPr="00F0341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it-IT"/>
              </w:rPr>
            </w:pPr>
          </w:p>
          <w:p w14:paraId="62485504" w14:textId="77777777" w:rsidR="005D3E8E" w:rsidRPr="00F0341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1.a. 0.89 (0.87-0.91)</w:t>
            </w:r>
          </w:p>
          <w:p w14:paraId="6B7BA8B3" w14:textId="77777777" w:rsidR="005D3E8E" w:rsidRPr="00F0341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1.b. 0.79 (0.76-0.81)</w:t>
            </w:r>
          </w:p>
          <w:p w14:paraId="66213915"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1.c. 0.67 (0.65-0.69)</w:t>
            </w:r>
          </w:p>
          <w:p w14:paraId="1023CF0E"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1.d. 0.60 (0.58-0.62)</w:t>
            </w:r>
          </w:p>
          <w:p w14:paraId="45698A68"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
          <w:p w14:paraId="2D9B95EB"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2.a 1.03 (1.01-1.04)</w:t>
            </w:r>
          </w:p>
          <w:p w14:paraId="73AD6522"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 1.01 (0.99-1.02)</w:t>
            </w:r>
          </w:p>
          <w:p w14:paraId="50E62ABF" w14:textId="77777777"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2.c. 0.99 (0.97-1.004)</w:t>
            </w:r>
          </w:p>
          <w:p w14:paraId="13186D20" w14:textId="6B9B71CC" w:rsidR="005D3E8E" w:rsidRPr="008714C3" w:rsidRDefault="005D3E8E" w:rsidP="00C0699D">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2.d. 0.96 (0.94-0.98)</w:t>
            </w:r>
          </w:p>
        </w:tc>
        <w:tc>
          <w:tcPr>
            <w:tcW w:w="2218" w:type="dxa"/>
            <w:shd w:val="clear" w:color="auto" w:fill="D9D9D9" w:themeFill="background1" w:themeFillShade="D9"/>
          </w:tcPr>
          <w:p w14:paraId="2B1F1927" w14:textId="1FF6C09B" w:rsidR="00C0699D" w:rsidRPr="008714C3" w:rsidRDefault="00633E9C"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The rate of emergency bed days rose with increasing deprivation, while no significant inequalities were observed for length of stay</w:t>
            </w:r>
            <w:r w:rsidR="00C0699D" w:rsidRPr="008714C3">
              <w:rPr>
                <w:rFonts w:cstheme="minorHAnsi"/>
                <w:sz w:val="16"/>
                <w:szCs w:val="16"/>
                <w:lang w:val="en-GB"/>
              </w:rPr>
              <w:t xml:space="preserve">. </w:t>
            </w:r>
          </w:p>
        </w:tc>
      </w:tr>
      <w:tr w:rsidR="008714C3" w:rsidRPr="00A7168F" w14:paraId="2CDB5C23"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224061AB" w14:textId="2902CDBC" w:rsidR="00657CE3" w:rsidRPr="00F03413" w:rsidRDefault="00657CE3" w:rsidP="00657CE3">
            <w:pPr>
              <w:rPr>
                <w:rFonts w:cstheme="minorHAnsi"/>
                <w:sz w:val="16"/>
                <w:szCs w:val="16"/>
              </w:rPr>
            </w:pPr>
            <w:r w:rsidRPr="00F03413">
              <w:rPr>
                <w:rFonts w:cstheme="minorHAnsi"/>
                <w:sz w:val="16"/>
                <w:szCs w:val="16"/>
              </w:rPr>
              <w:t>Lines, L. M., et al.</w:t>
            </w:r>
          </w:p>
          <w:p w14:paraId="1AEF9745" w14:textId="77777777" w:rsidR="00657CE3" w:rsidRPr="008714C3" w:rsidRDefault="00657CE3" w:rsidP="00657CE3">
            <w:pPr>
              <w:rPr>
                <w:rFonts w:cstheme="minorHAnsi"/>
                <w:sz w:val="16"/>
                <w:szCs w:val="16"/>
                <w:lang w:val="en-GB"/>
              </w:rPr>
            </w:pPr>
            <w:r w:rsidRPr="008714C3">
              <w:rPr>
                <w:rFonts w:cstheme="minorHAnsi"/>
                <w:sz w:val="16"/>
                <w:szCs w:val="16"/>
                <w:lang w:val="en-GB"/>
              </w:rPr>
              <w:t>2017</w:t>
            </w:r>
          </w:p>
          <w:p w14:paraId="2B5F3034" w14:textId="748AE3BE"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7DC91699" w14:textId="0F4FDA4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2674F860" w14:textId="7EA22DF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 xml:space="preserve">To explore associations between ED use and </w:t>
            </w:r>
            <w:r w:rsidR="008714C3" w:rsidRPr="008714C3">
              <w:rPr>
                <w:color w:val="000000"/>
                <w:sz w:val="16"/>
                <w:szCs w:val="16"/>
                <w:lang w:val="en-GB"/>
              </w:rPr>
              <w:t>neighbourhood</w:t>
            </w:r>
            <w:r w:rsidRPr="008714C3">
              <w:rPr>
                <w:color w:val="000000"/>
                <w:sz w:val="16"/>
                <w:szCs w:val="16"/>
                <w:lang w:val="en-GB"/>
              </w:rPr>
              <w:t xml:space="preserve"> poverty</w:t>
            </w:r>
          </w:p>
        </w:tc>
        <w:tc>
          <w:tcPr>
            <w:tcW w:w="1689" w:type="dxa"/>
            <w:shd w:val="clear" w:color="auto" w:fill="D9D9D9" w:themeFill="background1" w:themeFillShade="D9"/>
          </w:tcPr>
          <w:p w14:paraId="70693A09" w14:textId="06A78A3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Patients with commercial insurance (n=64,623)</w:t>
            </w:r>
          </w:p>
        </w:tc>
        <w:tc>
          <w:tcPr>
            <w:tcW w:w="1692" w:type="dxa"/>
            <w:shd w:val="clear" w:color="auto" w:fill="D9D9D9" w:themeFill="background1" w:themeFillShade="D9"/>
          </w:tcPr>
          <w:p w14:paraId="646D451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 xml:space="preserve">1. Total ED visits </w:t>
            </w:r>
          </w:p>
          <w:p w14:paraId="4F00E557" w14:textId="3A7C9458"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2. Preventable ED visits</w:t>
            </w:r>
            <w:r w:rsidRPr="008714C3">
              <w:rPr>
                <w:rFonts w:cstheme="minorHAnsi"/>
                <w:b/>
                <w:sz w:val="16"/>
                <w:szCs w:val="16"/>
                <w:lang w:val="en-GB"/>
              </w:rPr>
              <w:t xml:space="preserve"> </w:t>
            </w:r>
          </w:p>
          <w:p w14:paraId="0FE4703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
        </w:tc>
        <w:tc>
          <w:tcPr>
            <w:tcW w:w="1934" w:type="dxa"/>
            <w:shd w:val="clear" w:color="auto" w:fill="D9D9D9" w:themeFill="background1" w:themeFillShade="D9"/>
          </w:tcPr>
          <w:p w14:paraId="706B0DD9" w14:textId="69CC65CE"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Social deprivation</w:t>
            </w:r>
            <w:r w:rsidRPr="008714C3">
              <w:rPr>
                <w:rFonts w:cstheme="minorHAnsi"/>
                <w:b/>
                <w:sz w:val="16"/>
                <w:szCs w:val="16"/>
                <w:lang w:val="en-GB"/>
              </w:rPr>
              <w:t xml:space="preserve"> </w:t>
            </w:r>
            <w:r w:rsidRPr="008714C3">
              <w:rPr>
                <w:rFonts w:cstheme="minorHAnsi"/>
                <w:sz w:val="16"/>
                <w:szCs w:val="16"/>
                <w:lang w:val="en-GB"/>
              </w:rPr>
              <w:t>(Percent living in poverty in CT/10</w:t>
            </w:r>
            <w:r w:rsidRPr="008714C3">
              <w:rPr>
                <w:rStyle w:val="Appelnotedebasdep"/>
                <w:rFonts w:cstheme="minorHAnsi"/>
                <w:sz w:val="16"/>
                <w:szCs w:val="16"/>
                <w:lang w:val="en-GB"/>
              </w:rPr>
              <w:footnoteReference w:id="11"/>
            </w:r>
            <w:r w:rsidRPr="008714C3">
              <w:rPr>
                <w:rFonts w:cstheme="minorHAnsi"/>
                <w:sz w:val="16"/>
                <w:szCs w:val="16"/>
                <w:lang w:val="en-GB"/>
              </w:rPr>
              <w:t>)</w:t>
            </w:r>
          </w:p>
          <w:p w14:paraId="49B0EAA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55" w:type="dxa"/>
            <w:shd w:val="clear" w:color="auto" w:fill="D9D9D9" w:themeFill="background1" w:themeFillShade="D9"/>
          </w:tcPr>
          <w:p w14:paraId="3AD95E2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z-score (p-value)</w:t>
            </w:r>
          </w:p>
          <w:p w14:paraId="3FFDDFB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 5.84 (&lt;0.01)</w:t>
            </w:r>
          </w:p>
          <w:p w14:paraId="232612BC" w14:textId="097CA915"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 6.2 (&lt;0.01)</w:t>
            </w:r>
          </w:p>
        </w:tc>
        <w:tc>
          <w:tcPr>
            <w:tcW w:w="2218" w:type="dxa"/>
            <w:shd w:val="clear" w:color="auto" w:fill="D9D9D9" w:themeFill="background1" w:themeFillShade="D9"/>
          </w:tcPr>
          <w:p w14:paraId="06A96D86" w14:textId="1B4C4230"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People in lower-income </w:t>
            </w:r>
            <w:r w:rsidR="008714C3" w:rsidRPr="008714C3">
              <w:rPr>
                <w:rFonts w:cstheme="minorHAnsi"/>
                <w:sz w:val="16"/>
                <w:szCs w:val="16"/>
                <w:lang w:val="en-GB"/>
              </w:rPr>
              <w:t>neighbourhoods</w:t>
            </w:r>
            <w:r w:rsidRPr="008714C3">
              <w:rPr>
                <w:rFonts w:cstheme="minorHAnsi"/>
                <w:sz w:val="16"/>
                <w:szCs w:val="16"/>
                <w:lang w:val="en-GB"/>
              </w:rPr>
              <w:t xml:space="preserve">, remain more likely to go to the ED, have more ED visits, and have more PCS ED visits than people in higher-income </w:t>
            </w:r>
            <w:r w:rsidR="008714C3" w:rsidRPr="008714C3">
              <w:rPr>
                <w:rFonts w:cstheme="minorHAnsi"/>
                <w:sz w:val="16"/>
                <w:szCs w:val="16"/>
                <w:lang w:val="en-GB"/>
              </w:rPr>
              <w:t>neighbourhoods</w:t>
            </w:r>
            <w:r w:rsidRPr="008714C3">
              <w:rPr>
                <w:rFonts w:cstheme="minorHAnsi"/>
                <w:sz w:val="16"/>
                <w:szCs w:val="16"/>
                <w:lang w:val="en-GB"/>
              </w:rPr>
              <w:t xml:space="preserve">. </w:t>
            </w:r>
          </w:p>
        </w:tc>
      </w:tr>
      <w:tr w:rsidR="008714C3" w:rsidRPr="00A7168F" w14:paraId="6C109548"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43A8ED6A" w14:textId="77777777" w:rsidR="00657CE3" w:rsidRPr="00F03413" w:rsidRDefault="00657CE3" w:rsidP="00657CE3">
            <w:pPr>
              <w:rPr>
                <w:rFonts w:cstheme="minorHAnsi"/>
                <w:sz w:val="16"/>
                <w:szCs w:val="16"/>
              </w:rPr>
            </w:pPr>
            <w:proofErr w:type="spellStart"/>
            <w:r w:rsidRPr="00F03413">
              <w:rPr>
                <w:rFonts w:cstheme="minorHAnsi"/>
                <w:sz w:val="16"/>
                <w:szCs w:val="16"/>
              </w:rPr>
              <w:t>Shulman</w:t>
            </w:r>
            <w:proofErr w:type="spellEnd"/>
            <w:r w:rsidRPr="00F03413">
              <w:rPr>
                <w:rFonts w:cstheme="minorHAnsi"/>
                <w:sz w:val="16"/>
                <w:szCs w:val="16"/>
              </w:rPr>
              <w:t>, R., et al.</w:t>
            </w:r>
          </w:p>
          <w:p w14:paraId="42A8E36F" w14:textId="77777777" w:rsidR="00657CE3" w:rsidRPr="00F03413" w:rsidRDefault="00657CE3" w:rsidP="00657CE3">
            <w:pPr>
              <w:rPr>
                <w:rFonts w:cstheme="minorHAnsi"/>
                <w:sz w:val="16"/>
                <w:szCs w:val="16"/>
              </w:rPr>
            </w:pPr>
            <w:r w:rsidRPr="00F03413">
              <w:rPr>
                <w:rFonts w:cstheme="minorHAnsi"/>
                <w:sz w:val="16"/>
                <w:szCs w:val="16"/>
              </w:rPr>
              <w:t>2018</w:t>
            </w:r>
          </w:p>
          <w:p w14:paraId="1BA8DD6A" w14:textId="6429F0B0" w:rsidR="00657CE3" w:rsidRPr="00F03413" w:rsidRDefault="00657CE3" w:rsidP="00657CE3">
            <w:pPr>
              <w:rPr>
                <w:rFonts w:cstheme="minorHAnsi"/>
                <w:sz w:val="16"/>
                <w:szCs w:val="16"/>
              </w:rPr>
            </w:pPr>
            <w:r w:rsidRPr="00F03413">
              <w:rPr>
                <w:rFonts w:cstheme="minorHAnsi"/>
                <w:sz w:val="16"/>
                <w:szCs w:val="16"/>
              </w:rPr>
              <w:t>Canada</w:t>
            </w:r>
          </w:p>
        </w:tc>
        <w:tc>
          <w:tcPr>
            <w:tcW w:w="1485" w:type="dxa"/>
            <w:shd w:val="clear" w:color="auto" w:fill="D9D9D9" w:themeFill="background1" w:themeFillShade="D9"/>
          </w:tcPr>
          <w:p w14:paraId="3842ED25" w14:textId="3803883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Population-</w:t>
            </w:r>
            <w:proofErr w:type="gramStart"/>
            <w:r w:rsidRPr="008714C3">
              <w:rPr>
                <w:rFonts w:cstheme="minorHAnsi"/>
                <w:sz w:val="16"/>
                <w:szCs w:val="16"/>
                <w:lang w:val="en-GB"/>
              </w:rPr>
              <w:t>Based  Cohort</w:t>
            </w:r>
            <w:proofErr w:type="gramEnd"/>
            <w:r w:rsidRPr="008714C3">
              <w:rPr>
                <w:rFonts w:cstheme="minorHAnsi"/>
                <w:sz w:val="16"/>
                <w:szCs w:val="16"/>
                <w:lang w:val="en-GB"/>
              </w:rPr>
              <w:t xml:space="preserve"> Study</w:t>
            </w:r>
          </w:p>
        </w:tc>
        <w:tc>
          <w:tcPr>
            <w:tcW w:w="1782" w:type="dxa"/>
            <w:shd w:val="clear" w:color="auto" w:fill="D9D9D9" w:themeFill="background1" w:themeFillShade="D9"/>
          </w:tcPr>
          <w:p w14:paraId="7A9082C6" w14:textId="7A8CD47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 xml:space="preserve">To determine if the combination of socio-economic status </w:t>
            </w:r>
            <w:proofErr w:type="gramStart"/>
            <w:r w:rsidRPr="008714C3">
              <w:rPr>
                <w:color w:val="000000"/>
                <w:sz w:val="16"/>
                <w:szCs w:val="16"/>
                <w:lang w:val="en-GB"/>
              </w:rPr>
              <w:t>and  mental</w:t>
            </w:r>
            <w:proofErr w:type="gramEnd"/>
            <w:r w:rsidRPr="008714C3">
              <w:rPr>
                <w:color w:val="000000"/>
                <w:sz w:val="16"/>
                <w:szCs w:val="16"/>
                <w:lang w:val="en-GB"/>
              </w:rPr>
              <w:t xml:space="preserve"> health visits in adolescence are associated with diabetes-related ED visits in early adulthood</w:t>
            </w:r>
          </w:p>
        </w:tc>
        <w:tc>
          <w:tcPr>
            <w:tcW w:w="1689" w:type="dxa"/>
            <w:shd w:val="clear" w:color="auto" w:fill="D9D9D9" w:themeFill="background1" w:themeFillShade="D9"/>
          </w:tcPr>
          <w:p w14:paraId="14F5DA12" w14:textId="07BF74BC"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 with a diagnosis of diabetes prior to their 15th birthday (n=8,491)</w:t>
            </w:r>
          </w:p>
        </w:tc>
        <w:tc>
          <w:tcPr>
            <w:tcW w:w="1692" w:type="dxa"/>
            <w:shd w:val="clear" w:color="auto" w:fill="D9D9D9" w:themeFill="background1" w:themeFillShade="D9"/>
          </w:tcPr>
          <w:p w14:paraId="36BBACFF" w14:textId="56EDF6E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ED visits</w:t>
            </w:r>
            <w:r w:rsidRPr="008714C3">
              <w:rPr>
                <w:rFonts w:cstheme="minorHAnsi"/>
                <w:b/>
                <w:sz w:val="16"/>
                <w:szCs w:val="16"/>
                <w:lang w:val="en-GB"/>
              </w:rPr>
              <w:t xml:space="preserve"> </w:t>
            </w:r>
            <w:r w:rsidRPr="008714C3">
              <w:rPr>
                <w:rFonts w:cstheme="minorHAnsi"/>
                <w:sz w:val="16"/>
                <w:szCs w:val="16"/>
                <w:lang w:val="en-GB"/>
              </w:rPr>
              <w:t>(diabetes-related)</w:t>
            </w:r>
          </w:p>
        </w:tc>
        <w:tc>
          <w:tcPr>
            <w:tcW w:w="1934" w:type="dxa"/>
            <w:shd w:val="clear" w:color="auto" w:fill="D9D9D9" w:themeFill="background1" w:themeFillShade="D9"/>
          </w:tcPr>
          <w:p w14:paraId="0AB8192B" w14:textId="53AA2EE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Social deprivation</w:t>
            </w:r>
          </w:p>
          <w:p w14:paraId="02252ADA" w14:textId="02EEF7E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lang w:val="en-GB"/>
              </w:rPr>
              <w:t xml:space="preserve">Index of </w:t>
            </w:r>
            <w:r w:rsidR="00F35A81" w:rsidRPr="008714C3">
              <w:rPr>
                <w:rFonts w:cstheme="minorHAnsi"/>
                <w:b/>
                <w:sz w:val="16"/>
                <w:szCs w:val="16"/>
                <w:lang w:val="en-GB"/>
              </w:rPr>
              <w:t>Marginalization</w:t>
            </w:r>
            <w:r w:rsidRPr="008714C3">
              <w:rPr>
                <w:rFonts w:cstheme="minorHAnsi"/>
                <w:b/>
                <w:sz w:val="16"/>
                <w:szCs w:val="16"/>
                <w:lang w:val="en-GB"/>
              </w:rPr>
              <w:t xml:space="preserve"> area </w:t>
            </w:r>
            <w:r w:rsidRPr="008714C3">
              <w:rPr>
                <w:rFonts w:cstheme="minorHAnsi"/>
                <w:sz w:val="16"/>
                <w:szCs w:val="16"/>
                <w:lang w:val="en-GB"/>
              </w:rPr>
              <w:t>(based on the Ontario Marginalization Index (ON-MARG)</w:t>
            </w:r>
            <w:r w:rsidRPr="008714C3">
              <w:rPr>
                <w:rStyle w:val="Appelnotedebasdep"/>
                <w:rFonts w:cstheme="minorHAnsi"/>
                <w:sz w:val="16"/>
                <w:szCs w:val="16"/>
                <w:lang w:val="en-GB"/>
              </w:rPr>
              <w:footnoteReference w:id="12"/>
            </w:r>
            <w:r w:rsidRPr="008714C3">
              <w:rPr>
                <w:rFonts w:cstheme="minorHAnsi"/>
                <w:sz w:val="16"/>
                <w:szCs w:val="16"/>
                <w:lang w:val="en-GB"/>
              </w:rPr>
              <w:t>, divided in 5 quintiles)</w:t>
            </w:r>
          </w:p>
          <w:p w14:paraId="58E87EEA" w14:textId="66E98C2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(Ref: least deprived)</w:t>
            </w:r>
          </w:p>
        </w:tc>
        <w:tc>
          <w:tcPr>
            <w:tcW w:w="1955" w:type="dxa"/>
            <w:shd w:val="clear" w:color="auto" w:fill="D9D9D9" w:themeFill="background1" w:themeFillShade="D9"/>
          </w:tcPr>
          <w:p w14:paraId="53D970E2"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Rate ratio (95%CI)</w:t>
            </w:r>
          </w:p>
          <w:p w14:paraId="6A59AD66" w14:textId="57CC5FB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3.15 (1.79-5.54)</w:t>
            </w:r>
          </w:p>
        </w:tc>
        <w:tc>
          <w:tcPr>
            <w:tcW w:w="2218" w:type="dxa"/>
            <w:shd w:val="clear" w:color="auto" w:fill="D9D9D9" w:themeFill="background1" w:themeFillShade="D9"/>
          </w:tcPr>
          <w:p w14:paraId="0D5E0C75" w14:textId="54E21BA7"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Socio-economic status combined with mental health visits is associated with an increase </w:t>
            </w:r>
            <w:r w:rsidR="00573FD0" w:rsidRPr="008714C3">
              <w:rPr>
                <w:rFonts w:cstheme="minorHAnsi"/>
                <w:sz w:val="16"/>
                <w:szCs w:val="16"/>
                <w:lang w:val="en-GB"/>
              </w:rPr>
              <w:t>in</w:t>
            </w:r>
            <w:r w:rsidRPr="008714C3">
              <w:rPr>
                <w:rFonts w:cstheme="minorHAnsi"/>
                <w:sz w:val="16"/>
                <w:szCs w:val="16"/>
                <w:lang w:val="en-GB"/>
              </w:rPr>
              <w:t xml:space="preserve"> risk of diabetes-related ED visits in early adulthood for people with childhood-onset diabetes. </w:t>
            </w:r>
          </w:p>
        </w:tc>
      </w:tr>
      <w:tr w:rsidR="008714C3" w:rsidRPr="008714C3" w14:paraId="7BCA18BC"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4D418C29" w14:textId="77777777" w:rsidR="00657CE3" w:rsidRPr="008714C3" w:rsidRDefault="00657CE3" w:rsidP="00657CE3">
            <w:pPr>
              <w:rPr>
                <w:rFonts w:cstheme="minorHAnsi"/>
                <w:sz w:val="16"/>
                <w:szCs w:val="16"/>
                <w:lang w:val="en-GB"/>
              </w:rPr>
            </w:pPr>
            <w:r w:rsidRPr="008714C3">
              <w:rPr>
                <w:rFonts w:cstheme="minorHAnsi"/>
                <w:sz w:val="16"/>
                <w:szCs w:val="16"/>
                <w:lang w:val="en-GB"/>
              </w:rPr>
              <w:t>Thorne, K., et al.</w:t>
            </w:r>
          </w:p>
          <w:p w14:paraId="66AAED2A" w14:textId="77777777" w:rsidR="00657CE3" w:rsidRPr="008714C3" w:rsidRDefault="00657CE3" w:rsidP="00657CE3">
            <w:pPr>
              <w:rPr>
                <w:rFonts w:cstheme="minorHAnsi"/>
                <w:sz w:val="16"/>
                <w:szCs w:val="16"/>
                <w:lang w:val="en-GB"/>
              </w:rPr>
            </w:pPr>
            <w:r w:rsidRPr="008714C3">
              <w:rPr>
                <w:rFonts w:cstheme="minorHAnsi"/>
                <w:sz w:val="16"/>
                <w:szCs w:val="16"/>
                <w:lang w:val="en-GB"/>
              </w:rPr>
              <w:t>2016</w:t>
            </w:r>
          </w:p>
          <w:p w14:paraId="6B963412" w14:textId="46595028" w:rsidR="00657CE3" w:rsidRPr="008714C3" w:rsidRDefault="00657CE3" w:rsidP="00657CE3">
            <w:pPr>
              <w:rPr>
                <w:rFonts w:cstheme="minorHAnsi"/>
                <w:sz w:val="16"/>
                <w:szCs w:val="16"/>
                <w:lang w:val="en-GB"/>
              </w:rPr>
            </w:pPr>
            <w:r w:rsidRPr="008714C3">
              <w:rPr>
                <w:rFonts w:cstheme="minorHAnsi"/>
                <w:sz w:val="16"/>
                <w:szCs w:val="16"/>
                <w:lang w:val="en-GB"/>
              </w:rPr>
              <w:t>United Kingdom</w:t>
            </w:r>
          </w:p>
        </w:tc>
        <w:tc>
          <w:tcPr>
            <w:tcW w:w="1485" w:type="dxa"/>
            <w:shd w:val="clear" w:color="auto" w:fill="D9D9D9" w:themeFill="background1" w:themeFillShade="D9"/>
          </w:tcPr>
          <w:p w14:paraId="7C588D72" w14:textId="6B64D79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Record linkage study</w:t>
            </w:r>
          </w:p>
        </w:tc>
        <w:tc>
          <w:tcPr>
            <w:tcW w:w="1782" w:type="dxa"/>
            <w:shd w:val="clear" w:color="auto" w:fill="D9D9D9" w:themeFill="background1" w:themeFillShade="D9"/>
          </w:tcPr>
          <w:p w14:paraId="6C3758CE" w14:textId="16AF7328"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 xml:space="preserve">To identify whether social deprivation has any effect on mortality risk after emergency admission with hip fracture </w:t>
            </w:r>
          </w:p>
        </w:tc>
        <w:tc>
          <w:tcPr>
            <w:tcW w:w="1689" w:type="dxa"/>
            <w:shd w:val="clear" w:color="auto" w:fill="D9D9D9" w:themeFill="background1" w:themeFillShade="D9"/>
          </w:tcPr>
          <w:p w14:paraId="2256C38F" w14:textId="63E17B1A"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Patients emergency admitted with hip fracture in England (n=455,862) and </w:t>
            </w:r>
            <w:proofErr w:type="gramStart"/>
            <w:r w:rsidRPr="008714C3">
              <w:rPr>
                <w:rFonts w:cstheme="minorHAnsi"/>
                <w:sz w:val="16"/>
                <w:szCs w:val="16"/>
                <w:lang w:val="en-GB"/>
              </w:rPr>
              <w:t>Wales  (</w:t>
            </w:r>
            <w:proofErr w:type="gramEnd"/>
            <w:r w:rsidRPr="008714C3">
              <w:rPr>
                <w:rFonts w:cstheme="minorHAnsi"/>
                <w:sz w:val="16"/>
                <w:szCs w:val="16"/>
                <w:lang w:val="en-GB"/>
              </w:rPr>
              <w:t>n=29,733)</w:t>
            </w:r>
          </w:p>
        </w:tc>
        <w:tc>
          <w:tcPr>
            <w:tcW w:w="1692" w:type="dxa"/>
            <w:shd w:val="clear" w:color="auto" w:fill="D9D9D9" w:themeFill="background1" w:themeFillShade="D9"/>
          </w:tcPr>
          <w:p w14:paraId="5C3C8FC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1. 30-day mortality</w:t>
            </w:r>
            <w:r w:rsidRPr="008714C3">
              <w:rPr>
                <w:rFonts w:cstheme="minorHAnsi"/>
                <w:b/>
                <w:sz w:val="16"/>
                <w:szCs w:val="16"/>
                <w:lang w:val="en-GB"/>
              </w:rPr>
              <w:t xml:space="preserve"> </w:t>
            </w:r>
            <w:r w:rsidRPr="008714C3">
              <w:rPr>
                <w:rFonts w:cstheme="minorHAnsi"/>
                <w:sz w:val="16"/>
                <w:szCs w:val="16"/>
                <w:lang w:val="en-GB"/>
              </w:rPr>
              <w:t>(following hip fracture)</w:t>
            </w:r>
          </w:p>
          <w:p w14:paraId="1A649E6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2. 90-day mortality</w:t>
            </w:r>
            <w:r w:rsidRPr="008714C3">
              <w:rPr>
                <w:rFonts w:cstheme="minorHAnsi"/>
                <w:b/>
                <w:sz w:val="16"/>
                <w:szCs w:val="16"/>
                <w:lang w:val="en-GB"/>
              </w:rPr>
              <w:t xml:space="preserve"> </w:t>
            </w:r>
            <w:r w:rsidRPr="008714C3">
              <w:rPr>
                <w:rFonts w:cstheme="minorHAnsi"/>
                <w:sz w:val="16"/>
                <w:szCs w:val="16"/>
                <w:lang w:val="en-GB"/>
              </w:rPr>
              <w:t>(following hip fracture)</w:t>
            </w:r>
          </w:p>
          <w:p w14:paraId="75990E00" w14:textId="211CEE5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3. 365-day mortality</w:t>
            </w:r>
            <w:r w:rsidRPr="008714C3">
              <w:rPr>
                <w:rFonts w:cstheme="minorHAnsi"/>
                <w:b/>
                <w:sz w:val="16"/>
                <w:szCs w:val="16"/>
                <w:lang w:val="en-GB"/>
              </w:rPr>
              <w:t xml:space="preserve"> </w:t>
            </w:r>
            <w:r w:rsidRPr="008714C3">
              <w:rPr>
                <w:rFonts w:cstheme="minorHAnsi"/>
                <w:sz w:val="16"/>
                <w:szCs w:val="16"/>
                <w:lang w:val="en-GB"/>
              </w:rPr>
              <w:t>(following hip fracture)</w:t>
            </w:r>
          </w:p>
        </w:tc>
        <w:tc>
          <w:tcPr>
            <w:tcW w:w="1934" w:type="dxa"/>
            <w:shd w:val="clear" w:color="auto" w:fill="D9D9D9" w:themeFill="background1" w:themeFillShade="D9"/>
          </w:tcPr>
          <w:p w14:paraId="1BF00800"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Social deprivation</w:t>
            </w:r>
            <w:r w:rsidRPr="008714C3">
              <w:rPr>
                <w:rFonts w:cstheme="minorHAnsi"/>
                <w:b/>
                <w:sz w:val="16"/>
                <w:szCs w:val="16"/>
                <w:lang w:val="en-GB"/>
              </w:rPr>
              <w:t xml:space="preserve"> </w:t>
            </w:r>
            <w:r w:rsidRPr="008714C3">
              <w:rPr>
                <w:rFonts w:cstheme="minorHAnsi"/>
                <w:sz w:val="16"/>
                <w:szCs w:val="16"/>
                <w:lang w:val="en-GB"/>
              </w:rPr>
              <w:t xml:space="preserve">(2007 Indices of Multiple Deprivation (IMD, </w:t>
            </w:r>
            <w:proofErr w:type="spellStart"/>
            <w:r w:rsidRPr="008714C3">
              <w:rPr>
                <w:rFonts w:cstheme="minorHAnsi"/>
                <w:sz w:val="16"/>
                <w:szCs w:val="16"/>
                <w:lang w:val="en-GB"/>
              </w:rPr>
              <w:t>cf</w:t>
            </w:r>
            <w:proofErr w:type="spellEnd"/>
            <w:r w:rsidRPr="008714C3">
              <w:rPr>
                <w:rFonts w:cstheme="minorHAnsi"/>
                <w:sz w:val="16"/>
                <w:szCs w:val="16"/>
                <w:lang w:val="en-GB"/>
              </w:rPr>
              <w:t xml:space="preserve"> footnote 15) for England, divided in 5 quintiles)</w:t>
            </w:r>
          </w:p>
          <w:p w14:paraId="626FB5A0"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least deprived)</w:t>
            </w:r>
          </w:p>
          <w:p w14:paraId="72979BDB"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Most deprived</w:t>
            </w:r>
          </w:p>
          <w:p w14:paraId="3D430D81"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b. </w:t>
            </w:r>
            <w:r w:rsidRPr="008714C3">
              <w:rPr>
                <w:rFonts w:cstheme="minorHAnsi"/>
                <w:b/>
                <w:sz w:val="16"/>
                <w:szCs w:val="16"/>
                <w:u w:val="single"/>
                <w:lang w:val="en-GB"/>
              </w:rPr>
              <w:t>Social deprivation</w:t>
            </w:r>
          </w:p>
          <w:p w14:paraId="5069EBE6"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(2008 Welsh Index of Multiple Deprivation </w:t>
            </w:r>
            <w:r w:rsidRPr="008714C3">
              <w:rPr>
                <w:rFonts w:cstheme="minorHAnsi"/>
                <w:sz w:val="16"/>
                <w:szCs w:val="16"/>
                <w:lang w:val="en-GB"/>
              </w:rPr>
              <w:lastRenderedPageBreak/>
              <w:t>(WIMD)</w:t>
            </w:r>
            <w:r w:rsidRPr="008714C3">
              <w:rPr>
                <w:rStyle w:val="Appelnotedebasdep"/>
                <w:rFonts w:cstheme="minorHAnsi"/>
                <w:sz w:val="16"/>
                <w:szCs w:val="16"/>
                <w:lang w:val="en-GB"/>
              </w:rPr>
              <w:footnoteReference w:id="13"/>
            </w:r>
            <w:r w:rsidRPr="008714C3">
              <w:rPr>
                <w:rFonts w:cstheme="minorHAnsi"/>
                <w:sz w:val="16"/>
                <w:szCs w:val="16"/>
                <w:lang w:val="en-GB"/>
              </w:rPr>
              <w:t xml:space="preserve"> for Wales, divided in 5 quintiles)</w:t>
            </w:r>
          </w:p>
          <w:p w14:paraId="0A8BAED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least deprived)</w:t>
            </w:r>
          </w:p>
          <w:p w14:paraId="0BBB1A07" w14:textId="2BBE8715"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Most deprived</w:t>
            </w:r>
          </w:p>
        </w:tc>
        <w:tc>
          <w:tcPr>
            <w:tcW w:w="1955" w:type="dxa"/>
            <w:shd w:val="clear" w:color="auto" w:fill="D9D9D9" w:themeFill="background1" w:themeFillShade="D9"/>
          </w:tcPr>
          <w:p w14:paraId="06B30152"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proofErr w:type="spellStart"/>
            <w:r w:rsidRPr="00F03413">
              <w:rPr>
                <w:rFonts w:cstheme="minorHAnsi"/>
                <w:b/>
                <w:sz w:val="16"/>
                <w:szCs w:val="16"/>
                <w:lang w:val="it-IT"/>
              </w:rPr>
              <w:lastRenderedPageBreak/>
              <w:t>Odds</w:t>
            </w:r>
            <w:proofErr w:type="spellEnd"/>
            <w:r w:rsidRPr="00F03413">
              <w:rPr>
                <w:rFonts w:cstheme="minorHAnsi"/>
                <w:b/>
                <w:sz w:val="16"/>
                <w:szCs w:val="16"/>
                <w:lang w:val="it-IT"/>
              </w:rPr>
              <w:t xml:space="preserve"> ratio (95% CI)</w:t>
            </w:r>
          </w:p>
          <w:p w14:paraId="1C464969"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1.a. 1.187 (1.147-1.228)</w:t>
            </w:r>
          </w:p>
          <w:p w14:paraId="4F7AF179"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1.b. 1.136 (0.991-1.302)</w:t>
            </w:r>
          </w:p>
          <w:p w14:paraId="3A8E8EDE"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2.a. 1.185 (1.154-1.217)</w:t>
            </w:r>
          </w:p>
          <w:p w14:paraId="0A0BA14F"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 1.135 (1.022-1.261)</w:t>
            </w:r>
          </w:p>
          <w:p w14:paraId="7B381230"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lastRenderedPageBreak/>
              <w:t>3.a. 1.154 (1.128-1.181)</w:t>
            </w:r>
          </w:p>
          <w:p w14:paraId="311EA80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3.b. 1.203 (1.100-1.317)</w:t>
            </w:r>
          </w:p>
          <w:p w14:paraId="23E2341E" w14:textId="0020363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sz w:val="16"/>
                <w:szCs w:val="16"/>
                <w:lang w:val="en-GB"/>
              </w:rPr>
              <w:t xml:space="preserve"> </w:t>
            </w:r>
          </w:p>
        </w:tc>
        <w:tc>
          <w:tcPr>
            <w:tcW w:w="2218" w:type="dxa"/>
            <w:shd w:val="clear" w:color="auto" w:fill="D9D9D9" w:themeFill="background1" w:themeFillShade="D9"/>
          </w:tcPr>
          <w:p w14:paraId="6ECC7527" w14:textId="4E2330B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lastRenderedPageBreak/>
              <w:t xml:space="preserve">There is a positive association between social deprivation and increased mortality at 30 days post-admission for hip fracture in both England and Wales. This association is still evident at 90 and 365 days. </w:t>
            </w:r>
          </w:p>
          <w:p w14:paraId="37F637DE"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tc>
      </w:tr>
      <w:tr w:rsidR="008714C3" w:rsidRPr="00A7168F" w14:paraId="31AE707B"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4B75A92" w14:textId="77777777" w:rsidR="00657CE3" w:rsidRPr="00F03413" w:rsidRDefault="00657CE3" w:rsidP="00657CE3">
            <w:pPr>
              <w:rPr>
                <w:rFonts w:cstheme="minorHAnsi"/>
                <w:sz w:val="16"/>
                <w:szCs w:val="16"/>
                <w:lang w:val="it-IT"/>
              </w:rPr>
            </w:pPr>
            <w:r w:rsidRPr="00F03413">
              <w:rPr>
                <w:rFonts w:cstheme="minorHAnsi"/>
                <w:sz w:val="16"/>
                <w:szCs w:val="16"/>
                <w:lang w:val="it-IT"/>
              </w:rPr>
              <w:lastRenderedPageBreak/>
              <w:t>Vanasse, A., et al.</w:t>
            </w:r>
          </w:p>
          <w:p w14:paraId="791A6F93" w14:textId="77777777" w:rsidR="00657CE3" w:rsidRPr="00F03413" w:rsidRDefault="00657CE3" w:rsidP="00657CE3">
            <w:pPr>
              <w:rPr>
                <w:rFonts w:cstheme="minorHAnsi"/>
                <w:sz w:val="16"/>
                <w:szCs w:val="16"/>
                <w:lang w:val="it-IT"/>
              </w:rPr>
            </w:pPr>
            <w:r w:rsidRPr="00F03413">
              <w:rPr>
                <w:rFonts w:cstheme="minorHAnsi"/>
                <w:sz w:val="16"/>
                <w:szCs w:val="16"/>
                <w:lang w:val="it-IT"/>
              </w:rPr>
              <w:t>2012</w:t>
            </w:r>
          </w:p>
          <w:p w14:paraId="33059B7C" w14:textId="063740C2" w:rsidR="00657CE3" w:rsidRPr="00F03413" w:rsidRDefault="00657CE3" w:rsidP="00657CE3">
            <w:pPr>
              <w:rPr>
                <w:rFonts w:cstheme="minorHAnsi"/>
                <w:sz w:val="16"/>
                <w:szCs w:val="16"/>
                <w:lang w:val="it-IT"/>
              </w:rPr>
            </w:pPr>
            <w:r w:rsidRPr="00F03413">
              <w:rPr>
                <w:rFonts w:cstheme="minorHAnsi"/>
                <w:sz w:val="16"/>
                <w:szCs w:val="16"/>
                <w:lang w:val="it-IT"/>
              </w:rPr>
              <w:t>Canada</w:t>
            </w:r>
          </w:p>
        </w:tc>
        <w:tc>
          <w:tcPr>
            <w:tcW w:w="1485" w:type="dxa"/>
            <w:shd w:val="clear" w:color="auto" w:fill="D9D9D9" w:themeFill="background1" w:themeFillShade="D9"/>
          </w:tcPr>
          <w:p w14:paraId="792AC4A0" w14:textId="10BC0AC0"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78C6337F" w14:textId="18F52B0A"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rFonts w:cstheme="minorHAnsi"/>
                <w:color w:val="000000"/>
                <w:sz w:val="16"/>
                <w:szCs w:val="16"/>
                <w:lang w:val="en-GB"/>
              </w:rPr>
              <w:t>To compare ED use in patients with mood disorder based on the dwelling sector level of material and social deprivation</w:t>
            </w:r>
          </w:p>
        </w:tc>
        <w:tc>
          <w:tcPr>
            <w:tcW w:w="1689" w:type="dxa"/>
            <w:shd w:val="clear" w:color="auto" w:fill="D9D9D9" w:themeFill="background1" w:themeFillShade="D9"/>
          </w:tcPr>
          <w:p w14:paraId="66B27543" w14:textId="1080D67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Patients aged 18 years or older hospitalized with a diagnosis of mood disorder (n=177,850)</w:t>
            </w:r>
          </w:p>
        </w:tc>
        <w:tc>
          <w:tcPr>
            <w:tcW w:w="1692" w:type="dxa"/>
            <w:shd w:val="clear" w:color="auto" w:fill="D9D9D9" w:themeFill="background1" w:themeFillShade="D9"/>
          </w:tcPr>
          <w:p w14:paraId="67497B5B" w14:textId="39B00658"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Total ED visits</w:t>
            </w:r>
            <w:r w:rsidRPr="008714C3">
              <w:rPr>
                <w:rFonts w:cstheme="minorHAnsi"/>
                <w:b/>
                <w:sz w:val="16"/>
                <w:szCs w:val="16"/>
                <w:lang w:val="en-GB"/>
              </w:rPr>
              <w:t xml:space="preserve"> </w:t>
            </w:r>
            <w:r w:rsidRPr="008714C3">
              <w:rPr>
                <w:rFonts w:cstheme="minorHAnsi"/>
                <w:sz w:val="16"/>
                <w:szCs w:val="16"/>
                <w:lang w:val="en-GB"/>
              </w:rPr>
              <w:t>(during the year following the diagnosis of mood disorder)</w:t>
            </w:r>
          </w:p>
        </w:tc>
        <w:tc>
          <w:tcPr>
            <w:tcW w:w="1934" w:type="dxa"/>
            <w:shd w:val="clear" w:color="auto" w:fill="D9D9D9" w:themeFill="background1" w:themeFillShade="D9"/>
          </w:tcPr>
          <w:p w14:paraId="30F02E85"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Social deprivation</w:t>
            </w:r>
          </w:p>
          <w:p w14:paraId="093561E9"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(Combination of material and social deprivation quintiles based on the INSPQ deprivation index)</w:t>
            </w:r>
            <w:r w:rsidRPr="008714C3">
              <w:rPr>
                <w:rStyle w:val="Appelnotedebasdep"/>
                <w:rFonts w:cstheme="minorHAnsi"/>
                <w:sz w:val="16"/>
                <w:szCs w:val="16"/>
                <w:lang w:val="en-GB"/>
              </w:rPr>
              <w:footnoteReference w:id="14"/>
            </w:r>
            <w:r w:rsidRPr="008714C3">
              <w:rPr>
                <w:rFonts w:cstheme="minorHAnsi"/>
                <w:sz w:val="16"/>
                <w:szCs w:val="16"/>
                <w:lang w:val="en-GB"/>
              </w:rPr>
              <w:t xml:space="preserve"> </w:t>
            </w:r>
          </w:p>
          <w:p w14:paraId="5FF9E6F5"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least deprived)</w:t>
            </w:r>
          </w:p>
          <w:p w14:paraId="111E3181"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Most deprived</w:t>
            </w:r>
          </w:p>
          <w:p w14:paraId="4E5DD5F0"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Women</w:t>
            </w:r>
          </w:p>
          <w:p w14:paraId="090E411B" w14:textId="00E53B3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b. Men</w:t>
            </w:r>
          </w:p>
        </w:tc>
        <w:tc>
          <w:tcPr>
            <w:tcW w:w="1955" w:type="dxa"/>
            <w:shd w:val="clear" w:color="auto" w:fill="D9D9D9" w:themeFill="background1" w:themeFillShade="D9"/>
          </w:tcPr>
          <w:p w14:paraId="31C5DFED"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Relative risk</w:t>
            </w:r>
          </w:p>
          <w:p w14:paraId="0F2C4238"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3.82</w:t>
            </w:r>
          </w:p>
          <w:p w14:paraId="02E463A2" w14:textId="2FF51DE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3.25</w:t>
            </w:r>
          </w:p>
        </w:tc>
        <w:tc>
          <w:tcPr>
            <w:tcW w:w="2218" w:type="dxa"/>
            <w:shd w:val="clear" w:color="auto" w:fill="D9D9D9" w:themeFill="background1" w:themeFillShade="D9"/>
          </w:tcPr>
          <w:p w14:paraId="0ECEE185" w14:textId="2D33C42E"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There is a gradient between the level of disadvantage in the </w:t>
            </w:r>
            <w:r w:rsidR="008714C3" w:rsidRPr="008714C3">
              <w:rPr>
                <w:rFonts w:cstheme="minorHAnsi"/>
                <w:sz w:val="16"/>
                <w:szCs w:val="16"/>
                <w:lang w:val="en-GB"/>
              </w:rPr>
              <w:t>neighbourhood</w:t>
            </w:r>
            <w:r w:rsidRPr="008714C3">
              <w:rPr>
                <w:rFonts w:cstheme="minorHAnsi"/>
                <w:sz w:val="16"/>
                <w:szCs w:val="16"/>
                <w:lang w:val="en-GB"/>
              </w:rPr>
              <w:t xml:space="preserve"> of residence and the rate of ED visits. </w:t>
            </w:r>
          </w:p>
        </w:tc>
      </w:tr>
      <w:tr w:rsidR="008714C3" w:rsidRPr="00A7168F" w14:paraId="7D2E1697"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2B5E2D28" w14:textId="77777777" w:rsidR="00657CE3" w:rsidRPr="00F03413" w:rsidRDefault="00657CE3" w:rsidP="00657CE3">
            <w:pPr>
              <w:rPr>
                <w:rFonts w:cstheme="minorHAnsi"/>
                <w:sz w:val="16"/>
                <w:szCs w:val="16"/>
                <w:lang w:val="it-IT"/>
              </w:rPr>
            </w:pPr>
            <w:r w:rsidRPr="00F03413">
              <w:rPr>
                <w:rFonts w:cstheme="minorHAnsi"/>
                <w:sz w:val="16"/>
                <w:szCs w:val="16"/>
                <w:lang w:val="it-IT"/>
              </w:rPr>
              <w:t>Vanasse, A., et al.</w:t>
            </w:r>
          </w:p>
          <w:p w14:paraId="56F71559" w14:textId="77777777" w:rsidR="00657CE3" w:rsidRPr="00F03413" w:rsidRDefault="00657CE3" w:rsidP="00657CE3">
            <w:pPr>
              <w:rPr>
                <w:rFonts w:cstheme="minorHAnsi"/>
                <w:sz w:val="16"/>
                <w:szCs w:val="16"/>
                <w:lang w:val="it-IT"/>
              </w:rPr>
            </w:pPr>
            <w:r w:rsidRPr="00F03413">
              <w:rPr>
                <w:rFonts w:cstheme="minorHAnsi"/>
                <w:sz w:val="16"/>
                <w:szCs w:val="16"/>
                <w:lang w:val="it-IT"/>
              </w:rPr>
              <w:t>2014</w:t>
            </w:r>
          </w:p>
          <w:p w14:paraId="5EA7C678" w14:textId="5FFACB8D" w:rsidR="00657CE3" w:rsidRPr="00F03413" w:rsidRDefault="00657CE3" w:rsidP="00657CE3">
            <w:pPr>
              <w:rPr>
                <w:rFonts w:cstheme="minorHAnsi"/>
                <w:sz w:val="16"/>
                <w:szCs w:val="16"/>
                <w:lang w:val="it-IT"/>
              </w:rPr>
            </w:pPr>
            <w:r w:rsidRPr="00F03413">
              <w:rPr>
                <w:rFonts w:cstheme="minorHAnsi"/>
                <w:sz w:val="16"/>
                <w:szCs w:val="16"/>
                <w:lang w:val="it-IT"/>
              </w:rPr>
              <w:t>Canada</w:t>
            </w:r>
          </w:p>
        </w:tc>
        <w:tc>
          <w:tcPr>
            <w:tcW w:w="1485" w:type="dxa"/>
            <w:shd w:val="clear" w:color="auto" w:fill="D9D9D9" w:themeFill="background1" w:themeFillShade="D9"/>
          </w:tcPr>
          <w:p w14:paraId="6575D411" w14:textId="335FC05B"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74556E48" w14:textId="71123F74"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To measure and compare ED use in relation to the level of material and social deprivation of the area of residence</w:t>
            </w:r>
          </w:p>
        </w:tc>
        <w:tc>
          <w:tcPr>
            <w:tcW w:w="1689" w:type="dxa"/>
            <w:shd w:val="clear" w:color="auto" w:fill="D9D9D9" w:themeFill="background1" w:themeFillShade="D9"/>
          </w:tcPr>
          <w:p w14:paraId="0C74C5C2" w14:textId="29663241"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color w:val="000000"/>
                <w:sz w:val="16"/>
                <w:szCs w:val="16"/>
                <w:lang w:val="en-GB"/>
              </w:rPr>
              <w:t>Patients aged 30 years or older with diagnosis of hypertension without diagnosis of CVD (n=276,793)</w:t>
            </w:r>
          </w:p>
        </w:tc>
        <w:tc>
          <w:tcPr>
            <w:tcW w:w="1692" w:type="dxa"/>
            <w:shd w:val="clear" w:color="auto" w:fill="D9D9D9" w:themeFill="background1" w:themeFillShade="D9"/>
          </w:tcPr>
          <w:p w14:paraId="76D351DB" w14:textId="50A2AF05"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Frequent ED visits</w:t>
            </w:r>
            <w:r w:rsidRPr="008714C3">
              <w:rPr>
                <w:rFonts w:cstheme="minorHAnsi"/>
                <w:b/>
                <w:sz w:val="16"/>
                <w:szCs w:val="16"/>
                <w:lang w:val="en-GB"/>
              </w:rPr>
              <w:t xml:space="preserve"> </w:t>
            </w:r>
            <w:r w:rsidRPr="008714C3">
              <w:rPr>
                <w:rFonts w:cstheme="minorHAnsi"/>
                <w:sz w:val="16"/>
                <w:szCs w:val="16"/>
                <w:lang w:val="en-GB"/>
              </w:rPr>
              <w:t>(4 or more visits per year)</w:t>
            </w:r>
          </w:p>
        </w:tc>
        <w:tc>
          <w:tcPr>
            <w:tcW w:w="1934" w:type="dxa"/>
            <w:shd w:val="clear" w:color="auto" w:fill="D9D9D9" w:themeFill="background1" w:themeFillShade="D9"/>
          </w:tcPr>
          <w:p w14:paraId="0C2130A1" w14:textId="77777777"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rPr>
            </w:pPr>
            <w:r w:rsidRPr="00F03413">
              <w:rPr>
                <w:rFonts w:cstheme="minorHAnsi"/>
                <w:b/>
                <w:sz w:val="16"/>
                <w:szCs w:val="16"/>
                <w:u w:val="single"/>
              </w:rPr>
              <w:t xml:space="preserve">Social </w:t>
            </w:r>
            <w:proofErr w:type="spellStart"/>
            <w:r w:rsidRPr="00F03413">
              <w:rPr>
                <w:rFonts w:cstheme="minorHAnsi"/>
                <w:b/>
                <w:sz w:val="16"/>
                <w:szCs w:val="16"/>
                <w:u w:val="single"/>
              </w:rPr>
              <w:t>deprivation</w:t>
            </w:r>
            <w:proofErr w:type="spellEnd"/>
          </w:p>
          <w:p w14:paraId="705353D9" w14:textId="547694BC" w:rsidR="00657CE3" w:rsidRPr="00F0341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F03413">
              <w:rPr>
                <w:rFonts w:cstheme="minorHAnsi"/>
                <w:sz w:val="16"/>
                <w:szCs w:val="16"/>
              </w:rPr>
              <w:t>(</w:t>
            </w:r>
            <w:r w:rsidR="00430BAE" w:rsidRPr="00F03413">
              <w:rPr>
                <w:rFonts w:cstheme="minorHAnsi"/>
                <w:sz w:val="16"/>
                <w:szCs w:val="16"/>
              </w:rPr>
              <w:t xml:space="preserve">INSPQ </w:t>
            </w:r>
            <w:proofErr w:type="spellStart"/>
            <w:r w:rsidR="00430BAE" w:rsidRPr="00F03413">
              <w:rPr>
                <w:rFonts w:cstheme="minorHAnsi"/>
                <w:sz w:val="16"/>
                <w:szCs w:val="16"/>
              </w:rPr>
              <w:t>deprivation</w:t>
            </w:r>
            <w:proofErr w:type="spellEnd"/>
            <w:r w:rsidR="00430BAE" w:rsidRPr="00F03413">
              <w:rPr>
                <w:rFonts w:cstheme="minorHAnsi"/>
                <w:sz w:val="16"/>
                <w:szCs w:val="16"/>
              </w:rPr>
              <w:t xml:space="preserve"> index</w:t>
            </w:r>
            <w:r w:rsidRPr="00F03413">
              <w:rPr>
                <w:rFonts w:cstheme="minorHAnsi"/>
                <w:sz w:val="16"/>
                <w:szCs w:val="16"/>
              </w:rPr>
              <w:t>)</w:t>
            </w:r>
            <w:r w:rsidRPr="008714C3">
              <w:rPr>
                <w:rStyle w:val="Appelnotedebasdep"/>
                <w:rFonts w:cstheme="minorHAnsi"/>
                <w:sz w:val="16"/>
                <w:szCs w:val="16"/>
                <w:lang w:val="en-GB"/>
              </w:rPr>
              <w:footnoteReference w:id="15"/>
            </w:r>
          </w:p>
          <w:p w14:paraId="47C490F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least deprived)</w:t>
            </w:r>
          </w:p>
          <w:p w14:paraId="5AFAF5C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Most deprived</w:t>
            </w:r>
          </w:p>
          <w:p w14:paraId="23F8291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55" w:type="dxa"/>
            <w:shd w:val="clear" w:color="auto" w:fill="D9D9D9" w:themeFill="background1" w:themeFillShade="D9"/>
          </w:tcPr>
          <w:p w14:paraId="50C65A5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Relative risk</w:t>
            </w:r>
          </w:p>
          <w:p w14:paraId="024DD60A" w14:textId="64854D3E"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1.47</w:t>
            </w:r>
          </w:p>
        </w:tc>
        <w:tc>
          <w:tcPr>
            <w:tcW w:w="2218" w:type="dxa"/>
            <w:shd w:val="clear" w:color="auto" w:fill="D9D9D9" w:themeFill="background1" w:themeFillShade="D9"/>
          </w:tcPr>
          <w:p w14:paraId="7F190051" w14:textId="112A8A3F"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The risk of being frequent users is 47% higher for people living in the most materially and socially deprived areas than for people living in the least deprived areas. </w:t>
            </w:r>
          </w:p>
        </w:tc>
      </w:tr>
      <w:tr w:rsidR="002749B6" w:rsidRPr="008714C3" w14:paraId="3AC97305" w14:textId="77777777" w:rsidTr="002749B6">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44D6F552" w14:textId="77777777" w:rsidR="002749B6" w:rsidRPr="008714C3" w:rsidRDefault="002749B6" w:rsidP="002749B6">
            <w:pPr>
              <w:tabs>
                <w:tab w:val="left" w:pos="5446"/>
              </w:tabs>
              <w:rPr>
                <w:rFonts w:cstheme="minorHAnsi"/>
                <w:sz w:val="16"/>
                <w:szCs w:val="16"/>
                <w:lang w:val="en-GB"/>
              </w:rPr>
            </w:pPr>
            <w:r w:rsidRPr="008714C3">
              <w:rPr>
                <w:rFonts w:cstheme="minorHAnsi"/>
                <w:sz w:val="16"/>
                <w:szCs w:val="16"/>
                <w:lang w:val="en-GB"/>
              </w:rPr>
              <w:t>INSURANCE STATUS AND SOCIAL DEPRIVATION</w:t>
            </w:r>
          </w:p>
          <w:p w14:paraId="058E2FB9" w14:textId="77777777" w:rsidR="002749B6" w:rsidRPr="008714C3" w:rsidRDefault="002749B6" w:rsidP="002749B6">
            <w:pPr>
              <w:tabs>
                <w:tab w:val="left" w:pos="5446"/>
              </w:tabs>
              <w:rPr>
                <w:rFonts w:cstheme="minorHAnsi"/>
                <w:sz w:val="16"/>
                <w:szCs w:val="16"/>
                <w:lang w:val="en-GB"/>
              </w:rPr>
            </w:pPr>
            <w:r w:rsidRPr="008714C3">
              <w:rPr>
                <w:rFonts w:cstheme="minorHAnsi"/>
                <w:sz w:val="16"/>
                <w:szCs w:val="16"/>
                <w:lang w:val="en-GB"/>
              </w:rPr>
              <w:tab/>
            </w:r>
          </w:p>
        </w:tc>
      </w:tr>
      <w:tr w:rsidR="008714C3" w:rsidRPr="00A7168F" w14:paraId="6AE92323" w14:textId="77777777" w:rsidTr="00274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2903B53F" w14:textId="77777777" w:rsidR="002749B6" w:rsidRPr="008714C3" w:rsidRDefault="002749B6" w:rsidP="002749B6">
            <w:pPr>
              <w:rPr>
                <w:rFonts w:cstheme="minorHAnsi"/>
                <w:sz w:val="16"/>
                <w:szCs w:val="16"/>
                <w:lang w:val="en-GB"/>
              </w:rPr>
            </w:pPr>
            <w:r w:rsidRPr="008714C3">
              <w:rPr>
                <w:rFonts w:cstheme="minorHAnsi"/>
                <w:sz w:val="16"/>
                <w:szCs w:val="16"/>
                <w:lang w:val="en-GB"/>
              </w:rPr>
              <w:t>Whitney, R. L., et al.</w:t>
            </w:r>
          </w:p>
          <w:p w14:paraId="0E4CFE3E" w14:textId="77777777" w:rsidR="002749B6" w:rsidRPr="008714C3" w:rsidRDefault="002749B6" w:rsidP="002749B6">
            <w:pPr>
              <w:rPr>
                <w:rFonts w:cstheme="minorHAnsi"/>
                <w:sz w:val="16"/>
                <w:szCs w:val="16"/>
                <w:lang w:val="en-GB"/>
              </w:rPr>
            </w:pPr>
            <w:r w:rsidRPr="008714C3">
              <w:rPr>
                <w:rFonts w:cstheme="minorHAnsi"/>
                <w:sz w:val="16"/>
                <w:szCs w:val="16"/>
                <w:lang w:val="en-GB"/>
              </w:rPr>
              <w:t>2017</w:t>
            </w:r>
          </w:p>
          <w:p w14:paraId="60C097A0" w14:textId="3AC24785" w:rsidR="002749B6" w:rsidRPr="008714C3" w:rsidRDefault="002749B6" w:rsidP="002749B6">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4A3E9F98"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p w14:paraId="5785CBBC"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tc>
        <w:tc>
          <w:tcPr>
            <w:tcW w:w="1782" w:type="dxa"/>
            <w:shd w:val="clear" w:color="auto" w:fill="D9D9D9" w:themeFill="background1" w:themeFillShade="D9"/>
          </w:tcPr>
          <w:p w14:paraId="42E5D9BE" w14:textId="5F7D61BC"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To examine individual predictors of rehospitalization among individuals with advanced cancer</w:t>
            </w:r>
          </w:p>
        </w:tc>
        <w:tc>
          <w:tcPr>
            <w:tcW w:w="1689" w:type="dxa"/>
            <w:shd w:val="clear" w:color="auto" w:fill="D9D9D9" w:themeFill="background1" w:themeFillShade="D9"/>
          </w:tcPr>
          <w:p w14:paraId="06DF1DD3" w14:textId="681B4921"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lang w:val="en-GB"/>
              </w:rPr>
            </w:pPr>
            <w:r w:rsidRPr="008714C3">
              <w:rPr>
                <w:rFonts w:cstheme="minorHAnsi"/>
                <w:color w:val="000000"/>
                <w:sz w:val="16"/>
                <w:szCs w:val="16"/>
                <w:lang w:val="en-GB"/>
              </w:rPr>
              <w:t>Patients diagnosed with advanced breast, colorectal, non-small-cell lung, or pancreatic cancer (n=25,032)</w:t>
            </w:r>
          </w:p>
        </w:tc>
        <w:tc>
          <w:tcPr>
            <w:tcW w:w="1692" w:type="dxa"/>
            <w:shd w:val="clear" w:color="auto" w:fill="D9D9D9" w:themeFill="background1" w:themeFillShade="D9"/>
          </w:tcPr>
          <w:p w14:paraId="3887EC4A" w14:textId="4DEEF6E5"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Rehospitalizations </w:t>
            </w:r>
            <w:r w:rsidRPr="008714C3">
              <w:rPr>
                <w:rFonts w:cstheme="minorHAnsi"/>
                <w:sz w:val="16"/>
                <w:szCs w:val="16"/>
                <w:lang w:val="en-GB"/>
              </w:rPr>
              <w:t>(among individuals with advanced cancer in the year after diagnosis)</w:t>
            </w:r>
            <w:r w:rsidRPr="008714C3">
              <w:rPr>
                <w:rStyle w:val="Appelnotedebasdep"/>
                <w:rFonts w:cstheme="minorHAnsi"/>
                <w:sz w:val="16"/>
                <w:szCs w:val="16"/>
                <w:lang w:val="en-GB"/>
              </w:rPr>
              <w:footnoteReference w:id="16"/>
            </w:r>
          </w:p>
        </w:tc>
        <w:tc>
          <w:tcPr>
            <w:tcW w:w="1934" w:type="dxa"/>
            <w:shd w:val="clear" w:color="auto" w:fill="D9D9D9" w:themeFill="background1" w:themeFillShade="D9"/>
          </w:tcPr>
          <w:p w14:paraId="2522A34D"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Social deprivation</w:t>
            </w:r>
            <w:r w:rsidRPr="008714C3">
              <w:rPr>
                <w:rFonts w:cstheme="minorHAnsi"/>
                <w:b/>
                <w:sz w:val="16"/>
                <w:szCs w:val="16"/>
                <w:lang w:val="en-GB"/>
              </w:rPr>
              <w:t xml:space="preserve"> </w:t>
            </w:r>
            <w:r w:rsidRPr="008714C3">
              <w:rPr>
                <w:rFonts w:cstheme="minorHAnsi"/>
                <w:sz w:val="16"/>
                <w:szCs w:val="16"/>
                <w:lang w:val="en-GB"/>
              </w:rPr>
              <w:t>(area-based socioeconomic status (SES) quintile)</w:t>
            </w:r>
            <w:r w:rsidRPr="008714C3">
              <w:rPr>
                <w:rStyle w:val="Appelnotedebasdep"/>
                <w:rFonts w:cstheme="minorHAnsi"/>
                <w:sz w:val="16"/>
                <w:szCs w:val="16"/>
                <w:lang w:val="en-GB"/>
              </w:rPr>
              <w:footnoteReference w:id="17"/>
            </w:r>
          </w:p>
          <w:p w14:paraId="3CDF7BCB"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Highest)</w:t>
            </w:r>
          </w:p>
          <w:p w14:paraId="649CE4C6"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Upper-middle</w:t>
            </w:r>
          </w:p>
          <w:p w14:paraId="72016B73"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Middle</w:t>
            </w:r>
          </w:p>
          <w:p w14:paraId="3B840DB8"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iii. Lower-middle</w:t>
            </w:r>
          </w:p>
          <w:p w14:paraId="540F17E5"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iv. Lowest</w:t>
            </w:r>
          </w:p>
          <w:p w14:paraId="6214940A"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b. </w:t>
            </w:r>
            <w:r w:rsidRPr="008714C3">
              <w:rPr>
                <w:rFonts w:cstheme="minorHAnsi"/>
                <w:b/>
                <w:sz w:val="16"/>
                <w:szCs w:val="16"/>
                <w:u w:val="single"/>
                <w:lang w:val="en-GB"/>
              </w:rPr>
              <w:t>Insurance status</w:t>
            </w:r>
          </w:p>
          <w:p w14:paraId="4A803A65"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lastRenderedPageBreak/>
              <w:t>(Ref: Private)</w:t>
            </w:r>
          </w:p>
          <w:p w14:paraId="344D0AB6"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Public</w:t>
            </w:r>
          </w:p>
          <w:p w14:paraId="5180950B" w14:textId="0AA0AFAD"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ii. Uninsured</w:t>
            </w:r>
          </w:p>
        </w:tc>
        <w:tc>
          <w:tcPr>
            <w:tcW w:w="1955" w:type="dxa"/>
            <w:shd w:val="clear" w:color="auto" w:fill="D9D9D9" w:themeFill="background1" w:themeFillShade="D9"/>
          </w:tcPr>
          <w:p w14:paraId="40ECC9EA"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lastRenderedPageBreak/>
              <w:t>Incidence rate ratio (95% CI)</w:t>
            </w:r>
          </w:p>
          <w:p w14:paraId="570AFBE9"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a.i.</w:t>
            </w:r>
            <w:proofErr w:type="spellEnd"/>
            <w:r w:rsidRPr="008714C3">
              <w:rPr>
                <w:rFonts w:cstheme="minorHAnsi"/>
                <w:b/>
                <w:sz w:val="16"/>
                <w:szCs w:val="16"/>
                <w:lang w:val="en-GB"/>
              </w:rPr>
              <w:t xml:space="preserve"> 1.09 (1.02-1.18)</w:t>
            </w:r>
          </w:p>
          <w:p w14:paraId="5B6EF4AE"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proofErr w:type="gramStart"/>
            <w:r w:rsidRPr="008714C3">
              <w:rPr>
                <w:rFonts w:cstheme="minorHAnsi"/>
                <w:b/>
                <w:sz w:val="16"/>
                <w:szCs w:val="16"/>
                <w:lang w:val="en-GB"/>
              </w:rPr>
              <w:t>a.ii</w:t>
            </w:r>
            <w:proofErr w:type="spellEnd"/>
            <w:r w:rsidRPr="008714C3">
              <w:rPr>
                <w:rFonts w:cstheme="minorHAnsi"/>
                <w:b/>
                <w:sz w:val="16"/>
                <w:szCs w:val="16"/>
                <w:lang w:val="en-GB"/>
              </w:rPr>
              <w:t>.</w:t>
            </w:r>
            <w:proofErr w:type="gramEnd"/>
            <w:r w:rsidRPr="008714C3">
              <w:rPr>
                <w:rFonts w:cstheme="minorHAnsi"/>
                <w:b/>
                <w:sz w:val="16"/>
                <w:szCs w:val="16"/>
                <w:lang w:val="en-GB"/>
              </w:rPr>
              <w:t xml:space="preserve"> 1.13 (1.05-1.22)</w:t>
            </w:r>
          </w:p>
          <w:p w14:paraId="4AADABA6"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a.iii</w:t>
            </w:r>
            <w:proofErr w:type="spellEnd"/>
            <w:r w:rsidRPr="008714C3">
              <w:rPr>
                <w:rFonts w:cstheme="minorHAnsi"/>
                <w:b/>
                <w:sz w:val="16"/>
                <w:szCs w:val="16"/>
                <w:lang w:val="en-GB"/>
              </w:rPr>
              <w:t>. 1.14 (1.05-1.24)</w:t>
            </w:r>
          </w:p>
          <w:p w14:paraId="039EE37D"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proofErr w:type="gramStart"/>
            <w:r w:rsidRPr="008714C3">
              <w:rPr>
                <w:rFonts w:cstheme="minorHAnsi"/>
                <w:b/>
                <w:sz w:val="16"/>
                <w:szCs w:val="16"/>
                <w:lang w:val="en-GB"/>
              </w:rPr>
              <w:t>a.iv</w:t>
            </w:r>
            <w:proofErr w:type="spellEnd"/>
            <w:r w:rsidRPr="008714C3">
              <w:rPr>
                <w:rFonts w:cstheme="minorHAnsi"/>
                <w:b/>
                <w:sz w:val="16"/>
                <w:szCs w:val="16"/>
                <w:lang w:val="en-GB"/>
              </w:rPr>
              <w:t>.</w:t>
            </w:r>
            <w:proofErr w:type="gramEnd"/>
            <w:r w:rsidRPr="008714C3">
              <w:rPr>
                <w:rFonts w:cstheme="minorHAnsi"/>
                <w:b/>
                <w:sz w:val="16"/>
                <w:szCs w:val="16"/>
                <w:lang w:val="en-GB"/>
              </w:rPr>
              <w:t xml:space="preserve"> 1.29 (1.18-1.42)</w:t>
            </w:r>
          </w:p>
          <w:p w14:paraId="0189E045" w14:textId="7777777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b.i</w:t>
            </w:r>
            <w:proofErr w:type="spellEnd"/>
            <w:r w:rsidRPr="008714C3">
              <w:rPr>
                <w:rFonts w:cstheme="minorHAnsi"/>
                <w:b/>
                <w:sz w:val="16"/>
                <w:szCs w:val="16"/>
                <w:lang w:val="en-GB"/>
              </w:rPr>
              <w:t>. 1.37 (1.23-1.47)</w:t>
            </w:r>
          </w:p>
          <w:p w14:paraId="4CE2AFBF" w14:textId="216D70D7" w:rsidR="002749B6" w:rsidRPr="008714C3" w:rsidRDefault="002749B6" w:rsidP="002749B6">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proofErr w:type="gramStart"/>
            <w:r w:rsidRPr="008714C3">
              <w:rPr>
                <w:rFonts w:cstheme="minorHAnsi"/>
                <w:b/>
                <w:sz w:val="16"/>
                <w:szCs w:val="16"/>
                <w:lang w:val="en-GB"/>
              </w:rPr>
              <w:t>b.ii</w:t>
            </w:r>
            <w:proofErr w:type="spellEnd"/>
            <w:r w:rsidRPr="008714C3">
              <w:rPr>
                <w:rFonts w:cstheme="minorHAnsi"/>
                <w:b/>
                <w:sz w:val="16"/>
                <w:szCs w:val="16"/>
                <w:lang w:val="en-GB"/>
              </w:rPr>
              <w:t>.</w:t>
            </w:r>
            <w:proofErr w:type="gramEnd"/>
            <w:r w:rsidRPr="008714C3">
              <w:rPr>
                <w:rFonts w:cstheme="minorHAnsi"/>
                <w:b/>
                <w:sz w:val="16"/>
                <w:szCs w:val="16"/>
                <w:lang w:val="en-GB"/>
              </w:rPr>
              <w:t xml:space="preserve"> 1.17 (1.02-1.35)</w:t>
            </w:r>
          </w:p>
        </w:tc>
        <w:tc>
          <w:tcPr>
            <w:tcW w:w="2218" w:type="dxa"/>
            <w:shd w:val="clear" w:color="auto" w:fill="D9D9D9" w:themeFill="background1" w:themeFillShade="D9"/>
          </w:tcPr>
          <w:p w14:paraId="2F7D09AE" w14:textId="4DF303F5" w:rsidR="002749B6" w:rsidRPr="008714C3" w:rsidRDefault="008714C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Rehospitalisation</w:t>
            </w:r>
            <w:r w:rsidR="002749B6" w:rsidRPr="008714C3">
              <w:rPr>
                <w:rFonts w:cstheme="minorHAnsi"/>
                <w:sz w:val="16"/>
                <w:szCs w:val="16"/>
                <w:lang w:val="en-GB"/>
              </w:rPr>
              <w:t xml:space="preserve"> rates are significantly associated with sociodemographic characteristics, such as insurance status and socioeconomic quintile. </w:t>
            </w:r>
          </w:p>
        </w:tc>
      </w:tr>
      <w:tr w:rsidR="002749B6" w:rsidRPr="008714C3" w14:paraId="2A76D63C" w14:textId="77777777" w:rsidTr="002749B6">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0666C836" w14:textId="4C844AF8" w:rsidR="002749B6" w:rsidRPr="008714C3" w:rsidRDefault="002749B6" w:rsidP="002749B6">
            <w:pPr>
              <w:tabs>
                <w:tab w:val="left" w:pos="5446"/>
              </w:tabs>
              <w:rPr>
                <w:rFonts w:cstheme="minorHAnsi"/>
                <w:sz w:val="16"/>
                <w:szCs w:val="16"/>
                <w:lang w:val="en-GB"/>
              </w:rPr>
            </w:pPr>
            <w:r w:rsidRPr="008714C3">
              <w:rPr>
                <w:rFonts w:cstheme="minorHAnsi"/>
                <w:sz w:val="16"/>
                <w:szCs w:val="16"/>
                <w:lang w:val="en-GB"/>
              </w:rPr>
              <w:t>INCOME</w:t>
            </w:r>
          </w:p>
          <w:p w14:paraId="301B82D4" w14:textId="77777777" w:rsidR="002749B6" w:rsidRPr="008714C3" w:rsidRDefault="002749B6" w:rsidP="002749B6">
            <w:pPr>
              <w:tabs>
                <w:tab w:val="left" w:pos="5446"/>
              </w:tabs>
              <w:rPr>
                <w:rFonts w:cstheme="minorHAnsi"/>
                <w:sz w:val="16"/>
                <w:szCs w:val="16"/>
                <w:lang w:val="en-GB"/>
              </w:rPr>
            </w:pPr>
            <w:r w:rsidRPr="008714C3">
              <w:rPr>
                <w:rFonts w:cstheme="minorHAnsi"/>
                <w:sz w:val="16"/>
                <w:szCs w:val="16"/>
                <w:lang w:val="en-GB"/>
              </w:rPr>
              <w:tab/>
            </w:r>
          </w:p>
        </w:tc>
      </w:tr>
      <w:tr w:rsidR="008714C3" w:rsidRPr="00A7168F" w14:paraId="3D559D7A"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F6B0AE9" w14:textId="77777777" w:rsidR="00A25D38" w:rsidRPr="008714C3" w:rsidRDefault="00A25D38" w:rsidP="00A25D38">
            <w:pPr>
              <w:rPr>
                <w:rFonts w:cstheme="minorHAnsi"/>
                <w:sz w:val="16"/>
                <w:szCs w:val="16"/>
                <w:lang w:val="en-GB"/>
              </w:rPr>
            </w:pPr>
            <w:r w:rsidRPr="008714C3">
              <w:rPr>
                <w:rFonts w:cstheme="minorHAnsi"/>
                <w:sz w:val="16"/>
                <w:szCs w:val="16"/>
                <w:lang w:val="en-GB"/>
              </w:rPr>
              <w:t>Singhal, A., et al.</w:t>
            </w:r>
          </w:p>
          <w:p w14:paraId="088E6B48" w14:textId="77777777" w:rsidR="00A25D38" w:rsidRPr="008714C3" w:rsidRDefault="00A25D38" w:rsidP="00A25D38">
            <w:pPr>
              <w:rPr>
                <w:rFonts w:cstheme="minorHAnsi"/>
                <w:sz w:val="16"/>
                <w:szCs w:val="16"/>
                <w:lang w:val="en-GB"/>
              </w:rPr>
            </w:pPr>
            <w:r w:rsidRPr="008714C3">
              <w:rPr>
                <w:rFonts w:cstheme="minorHAnsi"/>
                <w:sz w:val="16"/>
                <w:szCs w:val="16"/>
                <w:lang w:val="en-GB"/>
              </w:rPr>
              <w:t>2016</w:t>
            </w:r>
          </w:p>
          <w:p w14:paraId="09FF1A9F" w14:textId="5AB66C71" w:rsidR="00A25D38" w:rsidRPr="008714C3" w:rsidRDefault="00A25D38" w:rsidP="00A25D38">
            <w:pPr>
              <w:rPr>
                <w:rFonts w:cstheme="minorHAnsi"/>
                <w:color w:val="000000"/>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1AAD0D05" w14:textId="236B093D"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7BD948B0" w14:textId="5C4E28FF"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To determine the factors associated with a subsequent dentist visit after a dental ED visit</w:t>
            </w:r>
          </w:p>
        </w:tc>
        <w:tc>
          <w:tcPr>
            <w:tcW w:w="1689" w:type="dxa"/>
            <w:shd w:val="clear" w:color="auto" w:fill="D9D9D9" w:themeFill="background1" w:themeFillShade="D9"/>
          </w:tcPr>
          <w:p w14:paraId="59C679E7" w14:textId="3D87B58C"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Adults enrolled in Medicaid (n=2,430)</w:t>
            </w:r>
          </w:p>
        </w:tc>
        <w:tc>
          <w:tcPr>
            <w:tcW w:w="1692" w:type="dxa"/>
            <w:shd w:val="clear" w:color="auto" w:fill="D9D9D9" w:themeFill="background1" w:themeFillShade="D9"/>
          </w:tcPr>
          <w:p w14:paraId="2E3F7766" w14:textId="1A4C9FD1"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 xml:space="preserve">Subsequent dentist </w:t>
            </w:r>
            <w:proofErr w:type="gramStart"/>
            <w:r w:rsidRPr="008714C3">
              <w:rPr>
                <w:rFonts w:cstheme="minorHAnsi"/>
                <w:b/>
                <w:sz w:val="16"/>
                <w:szCs w:val="16"/>
                <w:u w:val="single"/>
                <w:lang w:val="en-GB"/>
              </w:rPr>
              <w:t>visit</w:t>
            </w:r>
            <w:proofErr w:type="gramEnd"/>
            <w:r w:rsidRPr="008714C3">
              <w:rPr>
                <w:rFonts w:cstheme="minorHAnsi"/>
                <w:b/>
                <w:sz w:val="16"/>
                <w:szCs w:val="16"/>
                <w:u w:val="single"/>
                <w:lang w:val="en-GB"/>
              </w:rPr>
              <w:t xml:space="preserve"> after a dental ED visit</w:t>
            </w:r>
          </w:p>
        </w:tc>
        <w:tc>
          <w:tcPr>
            <w:tcW w:w="1934" w:type="dxa"/>
            <w:shd w:val="clear" w:color="auto" w:fill="D9D9D9" w:themeFill="background1" w:themeFillShade="D9"/>
          </w:tcPr>
          <w:p w14:paraId="089BD43E" w14:textId="77777777"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Reportable income</w:t>
            </w:r>
            <w:r w:rsidRPr="008714C3">
              <w:rPr>
                <w:rFonts w:cstheme="minorHAnsi"/>
                <w:b/>
                <w:sz w:val="16"/>
                <w:szCs w:val="16"/>
                <w:lang w:val="en-GB"/>
              </w:rPr>
              <w:t xml:space="preserve"> (Ref: no)</w:t>
            </w:r>
          </w:p>
          <w:p w14:paraId="53D44DC9" w14:textId="5D2A14A8"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Yes</w:t>
            </w:r>
          </w:p>
        </w:tc>
        <w:tc>
          <w:tcPr>
            <w:tcW w:w="1955" w:type="dxa"/>
            <w:shd w:val="clear" w:color="auto" w:fill="D9D9D9" w:themeFill="background1" w:themeFillShade="D9"/>
          </w:tcPr>
          <w:p w14:paraId="32674B79" w14:textId="77777777"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Hazard ratio (95% CI)</w:t>
            </w:r>
          </w:p>
          <w:p w14:paraId="3FC71DA6" w14:textId="77777777"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1.05 (0.94-1.18)</w:t>
            </w:r>
          </w:p>
          <w:p w14:paraId="12B8E7AC" w14:textId="77777777"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
        </w:tc>
        <w:tc>
          <w:tcPr>
            <w:tcW w:w="2218" w:type="dxa"/>
            <w:shd w:val="clear" w:color="auto" w:fill="D9D9D9" w:themeFill="background1" w:themeFillShade="D9"/>
          </w:tcPr>
          <w:p w14:paraId="54C94817" w14:textId="15D437CB"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No effect of reportable income on subsequent dentist visit</w:t>
            </w:r>
            <w:r w:rsidR="006F5BAA" w:rsidRPr="008714C3">
              <w:rPr>
                <w:rFonts w:cstheme="minorHAnsi"/>
                <w:sz w:val="16"/>
                <w:szCs w:val="16"/>
                <w:lang w:val="en-GB"/>
              </w:rPr>
              <w:t>s</w:t>
            </w:r>
            <w:r w:rsidRPr="008714C3">
              <w:rPr>
                <w:rFonts w:cstheme="minorHAnsi"/>
                <w:sz w:val="16"/>
                <w:szCs w:val="16"/>
                <w:lang w:val="en-GB"/>
              </w:rPr>
              <w:t xml:space="preserve"> </w:t>
            </w:r>
            <w:r w:rsidR="006F5BAA" w:rsidRPr="008714C3">
              <w:rPr>
                <w:rFonts w:cstheme="minorHAnsi"/>
                <w:sz w:val="16"/>
                <w:szCs w:val="16"/>
                <w:lang w:val="en-GB"/>
              </w:rPr>
              <w:t xml:space="preserve">was found </w:t>
            </w:r>
            <w:r w:rsidRPr="008714C3">
              <w:rPr>
                <w:rFonts w:cstheme="minorHAnsi"/>
                <w:sz w:val="16"/>
                <w:szCs w:val="16"/>
                <w:lang w:val="en-GB"/>
              </w:rPr>
              <w:t xml:space="preserve">after a dental ED visit among adults enrolled in Medicaid. </w:t>
            </w:r>
          </w:p>
          <w:p w14:paraId="5A9C682E" w14:textId="77777777" w:rsidR="00A25D38" w:rsidRPr="008714C3" w:rsidRDefault="00A25D38" w:rsidP="00A25D38">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tc>
      </w:tr>
      <w:tr w:rsidR="00A25D38" w:rsidRPr="008714C3" w14:paraId="7A2DDA31" w14:textId="77777777" w:rsidTr="00A25D38">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34076E2C" w14:textId="77777777" w:rsidR="00A25D38" w:rsidRPr="008714C3" w:rsidRDefault="00A25D38" w:rsidP="00A25D38">
            <w:pPr>
              <w:tabs>
                <w:tab w:val="left" w:pos="5446"/>
              </w:tabs>
              <w:rPr>
                <w:rFonts w:cstheme="minorHAnsi"/>
                <w:sz w:val="16"/>
                <w:szCs w:val="16"/>
                <w:lang w:val="en-GB"/>
              </w:rPr>
            </w:pPr>
            <w:r w:rsidRPr="008714C3">
              <w:rPr>
                <w:rFonts w:cstheme="minorHAnsi"/>
                <w:sz w:val="16"/>
                <w:szCs w:val="16"/>
                <w:lang w:val="en-GB"/>
              </w:rPr>
              <w:t>INSURANCE STATUS AND INCOME</w:t>
            </w:r>
          </w:p>
          <w:p w14:paraId="2AAE422F" w14:textId="17DF4810" w:rsidR="00A25D38" w:rsidRPr="008714C3" w:rsidRDefault="00A25D38" w:rsidP="00A25D38">
            <w:pPr>
              <w:tabs>
                <w:tab w:val="left" w:pos="708"/>
                <w:tab w:val="left" w:pos="1416"/>
                <w:tab w:val="left" w:pos="4021"/>
              </w:tabs>
              <w:rPr>
                <w:rFonts w:cstheme="minorHAnsi"/>
                <w:b w:val="0"/>
                <w:bCs w:val="0"/>
                <w:color w:val="000000"/>
                <w:sz w:val="16"/>
                <w:szCs w:val="16"/>
                <w:lang w:val="en-GB"/>
              </w:rPr>
            </w:pPr>
            <w:r w:rsidRPr="008714C3">
              <w:rPr>
                <w:rFonts w:cstheme="minorHAnsi"/>
                <w:sz w:val="16"/>
                <w:szCs w:val="16"/>
                <w:lang w:val="en-GB"/>
              </w:rPr>
              <w:tab/>
            </w:r>
            <w:r w:rsidRPr="008714C3">
              <w:rPr>
                <w:rFonts w:cstheme="minorHAnsi"/>
                <w:sz w:val="16"/>
                <w:szCs w:val="16"/>
                <w:lang w:val="en-GB"/>
              </w:rPr>
              <w:tab/>
            </w:r>
            <w:r w:rsidRPr="008714C3">
              <w:rPr>
                <w:rFonts w:cstheme="minorHAnsi"/>
                <w:sz w:val="16"/>
                <w:szCs w:val="16"/>
                <w:lang w:val="en-GB"/>
              </w:rPr>
              <w:tab/>
            </w:r>
          </w:p>
        </w:tc>
      </w:tr>
      <w:tr w:rsidR="008714C3" w:rsidRPr="00A7168F" w14:paraId="54243309"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0D16356B" w14:textId="77777777" w:rsidR="00657CE3" w:rsidRPr="008714C3" w:rsidRDefault="00657CE3" w:rsidP="00657CE3">
            <w:pPr>
              <w:rPr>
                <w:rFonts w:cstheme="minorHAnsi"/>
                <w:color w:val="000000"/>
                <w:sz w:val="16"/>
                <w:szCs w:val="16"/>
                <w:lang w:val="en-GB"/>
              </w:rPr>
            </w:pPr>
            <w:r w:rsidRPr="008714C3">
              <w:rPr>
                <w:rFonts w:cstheme="minorHAnsi"/>
                <w:color w:val="000000"/>
                <w:sz w:val="16"/>
                <w:szCs w:val="16"/>
                <w:lang w:val="en-GB"/>
              </w:rPr>
              <w:t>Finnegan, M. A., et al.</w:t>
            </w:r>
          </w:p>
          <w:p w14:paraId="280BF9AD" w14:textId="77777777" w:rsidR="00657CE3" w:rsidRPr="008714C3" w:rsidRDefault="00657CE3" w:rsidP="00657CE3">
            <w:pPr>
              <w:rPr>
                <w:rFonts w:cstheme="minorHAnsi"/>
                <w:color w:val="000000"/>
                <w:sz w:val="16"/>
                <w:szCs w:val="16"/>
                <w:lang w:val="en-GB"/>
              </w:rPr>
            </w:pPr>
            <w:r w:rsidRPr="008714C3">
              <w:rPr>
                <w:rFonts w:cstheme="minorHAnsi"/>
                <w:color w:val="000000"/>
                <w:sz w:val="16"/>
                <w:szCs w:val="16"/>
                <w:lang w:val="en-GB"/>
              </w:rPr>
              <w:t>2017</w:t>
            </w:r>
          </w:p>
          <w:p w14:paraId="73E3D064" w14:textId="6E763757" w:rsidR="00657CE3" w:rsidRPr="008714C3" w:rsidRDefault="00657CE3" w:rsidP="00657CE3">
            <w:pPr>
              <w:rPr>
                <w:rFonts w:cstheme="minorHAnsi"/>
                <w:sz w:val="16"/>
                <w:szCs w:val="16"/>
                <w:lang w:val="en-GB"/>
              </w:rPr>
            </w:pPr>
            <w:r w:rsidRPr="008714C3">
              <w:rPr>
                <w:rFonts w:cstheme="minorHAnsi"/>
                <w:color w:val="000000"/>
                <w:sz w:val="16"/>
                <w:szCs w:val="16"/>
                <w:lang w:val="en-GB"/>
              </w:rPr>
              <w:t>United States</w:t>
            </w:r>
          </w:p>
        </w:tc>
        <w:tc>
          <w:tcPr>
            <w:tcW w:w="1485" w:type="dxa"/>
            <w:shd w:val="clear" w:color="auto" w:fill="D9D9D9" w:themeFill="background1" w:themeFillShade="D9"/>
          </w:tcPr>
          <w:p w14:paraId="05BE79A7" w14:textId="4835E81C"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Observational, population-based study</w:t>
            </w:r>
          </w:p>
        </w:tc>
        <w:tc>
          <w:tcPr>
            <w:tcW w:w="1782" w:type="dxa"/>
            <w:shd w:val="clear" w:color="auto" w:fill="D9D9D9" w:themeFill="background1" w:themeFillShade="D9"/>
          </w:tcPr>
          <w:p w14:paraId="774DAFBD" w14:textId="57165C6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rFonts w:cstheme="minorHAnsi"/>
                <w:sz w:val="16"/>
                <w:szCs w:val="16"/>
                <w:lang w:val="en-GB"/>
              </w:rPr>
              <w:t>To determine what factors are associated with an increased risk of ED visits following major joint replacement surgical procedures</w:t>
            </w:r>
          </w:p>
        </w:tc>
        <w:tc>
          <w:tcPr>
            <w:tcW w:w="1689" w:type="dxa"/>
            <w:shd w:val="clear" w:color="auto" w:fill="D9D9D9" w:themeFill="background1" w:themeFillShade="D9"/>
          </w:tcPr>
          <w:p w14:paraId="7A5BEF13" w14:textId="0FE3BA48"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Adult undergoing total hip or knee arthroplasty (n=152,783)</w:t>
            </w:r>
          </w:p>
        </w:tc>
        <w:tc>
          <w:tcPr>
            <w:tcW w:w="1692" w:type="dxa"/>
            <w:shd w:val="clear" w:color="auto" w:fill="D9D9D9" w:themeFill="background1" w:themeFillShade="D9"/>
          </w:tcPr>
          <w:p w14:paraId="2E6E0DFC" w14:textId="1906BDBB"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1. Total ED readmission</w:t>
            </w:r>
            <w:r w:rsidRPr="008714C3">
              <w:rPr>
                <w:rFonts w:cstheme="minorHAnsi"/>
                <w:b/>
                <w:sz w:val="16"/>
                <w:szCs w:val="16"/>
                <w:lang w:val="en-GB"/>
              </w:rPr>
              <w:t xml:space="preserve"> </w:t>
            </w:r>
            <w:r w:rsidRPr="008714C3">
              <w:rPr>
                <w:rFonts w:cstheme="minorHAnsi"/>
                <w:sz w:val="16"/>
                <w:szCs w:val="16"/>
                <w:lang w:val="en-GB"/>
              </w:rPr>
              <w:t>(following intervention, within 30 days)</w:t>
            </w:r>
          </w:p>
          <w:p w14:paraId="33EFB133" w14:textId="2182A49D"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2. Specific ED readmission</w:t>
            </w:r>
            <w:r w:rsidRPr="008714C3">
              <w:rPr>
                <w:rFonts w:cstheme="minorHAnsi"/>
                <w:b/>
                <w:sz w:val="16"/>
                <w:szCs w:val="16"/>
                <w:lang w:val="en-GB"/>
              </w:rPr>
              <w:t xml:space="preserve"> </w:t>
            </w:r>
            <w:r w:rsidRPr="008714C3">
              <w:rPr>
                <w:rFonts w:cstheme="minorHAnsi"/>
                <w:sz w:val="16"/>
                <w:szCs w:val="16"/>
                <w:lang w:val="en-GB"/>
              </w:rPr>
              <w:t>(following intervention, pain-related, within 30 days)</w:t>
            </w:r>
          </w:p>
        </w:tc>
        <w:tc>
          <w:tcPr>
            <w:tcW w:w="1934" w:type="dxa"/>
            <w:shd w:val="clear" w:color="auto" w:fill="D9D9D9" w:themeFill="background1" w:themeFillShade="D9"/>
          </w:tcPr>
          <w:p w14:paraId="659A537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Insurance status</w:t>
            </w:r>
            <w:r w:rsidRPr="008714C3">
              <w:rPr>
                <w:rFonts w:cstheme="minorHAnsi"/>
                <w:b/>
                <w:sz w:val="16"/>
                <w:szCs w:val="16"/>
                <w:lang w:val="en-GB"/>
              </w:rPr>
              <w:t xml:space="preserve"> (Ref: private)</w:t>
            </w:r>
          </w:p>
          <w:p w14:paraId="6C81354D"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Medicare</w:t>
            </w:r>
          </w:p>
          <w:p w14:paraId="33E6BDD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Medicaid</w:t>
            </w:r>
          </w:p>
          <w:p w14:paraId="360DA61E"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b. </w:t>
            </w:r>
            <w:r w:rsidRPr="008714C3">
              <w:rPr>
                <w:rFonts w:cstheme="minorHAnsi"/>
                <w:b/>
                <w:sz w:val="16"/>
                <w:szCs w:val="16"/>
                <w:u w:val="single"/>
                <w:lang w:val="en-GB"/>
              </w:rPr>
              <w:t>Median household income</w:t>
            </w:r>
            <w:r w:rsidRPr="008714C3">
              <w:rPr>
                <w:rFonts w:cstheme="minorHAnsi"/>
                <w:b/>
                <w:sz w:val="16"/>
                <w:szCs w:val="16"/>
                <w:lang w:val="en-GB"/>
              </w:rPr>
              <w:t xml:space="preserve"> </w:t>
            </w:r>
          </w:p>
          <w:p w14:paraId="44AA8B8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Highest quartile)</w:t>
            </w:r>
          </w:p>
          <w:p w14:paraId="5DB80147"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Second</w:t>
            </w:r>
          </w:p>
          <w:p w14:paraId="7715D9F4"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Third</w:t>
            </w:r>
          </w:p>
          <w:p w14:paraId="0D6DD0C4" w14:textId="1C576BB1"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iii. Fourth</w:t>
            </w:r>
          </w:p>
        </w:tc>
        <w:tc>
          <w:tcPr>
            <w:tcW w:w="1955" w:type="dxa"/>
            <w:shd w:val="clear" w:color="auto" w:fill="D9D9D9" w:themeFill="background1" w:themeFillShade="D9"/>
          </w:tcPr>
          <w:p w14:paraId="60CB1720"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(95%CI)</w:t>
            </w:r>
          </w:p>
          <w:p w14:paraId="6A431ECF"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1.a.i. 1.38 (1.29-1.47)</w:t>
            </w:r>
          </w:p>
          <w:p w14:paraId="2C01D287"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1.a.ii 2.28 (2.04-2.55)</w:t>
            </w:r>
          </w:p>
          <w:p w14:paraId="5CF64B06"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1.b.ii 0.98 (0.91-1.05)</w:t>
            </w:r>
          </w:p>
          <w:p w14:paraId="6FA9180B"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1.b.iii 0.96 (0.89-1.03)</w:t>
            </w:r>
          </w:p>
          <w:p w14:paraId="450C494B"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1.b.iv 0.97 (0.90-1.05)</w:t>
            </w:r>
          </w:p>
          <w:p w14:paraId="0364A049"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2.a.i 1.62 (1.40-1.87)</w:t>
            </w:r>
          </w:p>
          <w:p w14:paraId="4665C26C"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2.a.ii 1.68 (1.36-2.09)</w:t>
            </w:r>
          </w:p>
          <w:p w14:paraId="48E08206" w14:textId="77777777" w:rsidR="00657CE3" w:rsidRPr="00A7168F"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2.b.i 1.12 (0.96-1.31)</w:t>
            </w:r>
          </w:p>
          <w:p w14:paraId="67E9036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2.b.ii 1.00 (0.85-1.17)</w:t>
            </w:r>
          </w:p>
          <w:p w14:paraId="48EE9D82" w14:textId="7133B352"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2.b.iii 1.04 (0.87-1.23)</w:t>
            </w:r>
          </w:p>
        </w:tc>
        <w:tc>
          <w:tcPr>
            <w:tcW w:w="2218" w:type="dxa"/>
            <w:shd w:val="clear" w:color="auto" w:fill="D9D9D9" w:themeFill="background1" w:themeFillShade="D9"/>
          </w:tcPr>
          <w:p w14:paraId="051D67CF" w14:textId="096D26E3" w:rsidR="00657CE3" w:rsidRPr="008714C3" w:rsidRDefault="00657CE3"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Medicaid patients had almost double the risk of an ED or pain-related ED visit following a surgical procedure. No association between median household income quartile and increased risk for an ED visit was found. </w:t>
            </w:r>
          </w:p>
        </w:tc>
      </w:tr>
      <w:tr w:rsidR="008714C3" w:rsidRPr="00A7168F" w14:paraId="03EFCD22"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4E28EF6A" w14:textId="77777777" w:rsidR="00657CE3" w:rsidRPr="00F03413" w:rsidRDefault="00657CE3" w:rsidP="00657CE3">
            <w:pPr>
              <w:rPr>
                <w:rFonts w:cstheme="minorHAnsi"/>
                <w:sz w:val="16"/>
                <w:szCs w:val="16"/>
              </w:rPr>
            </w:pPr>
            <w:proofErr w:type="spellStart"/>
            <w:r w:rsidRPr="00F03413">
              <w:rPr>
                <w:rFonts w:cstheme="minorHAnsi"/>
                <w:sz w:val="16"/>
                <w:szCs w:val="16"/>
              </w:rPr>
              <w:t>Ladha</w:t>
            </w:r>
            <w:proofErr w:type="spellEnd"/>
            <w:r w:rsidRPr="00F03413">
              <w:rPr>
                <w:rFonts w:cstheme="minorHAnsi"/>
                <w:sz w:val="16"/>
                <w:szCs w:val="16"/>
              </w:rPr>
              <w:t>, K. S., et al.</w:t>
            </w:r>
          </w:p>
          <w:p w14:paraId="1375A6E1" w14:textId="77777777" w:rsidR="00657CE3" w:rsidRPr="008714C3" w:rsidRDefault="00657CE3" w:rsidP="00657CE3">
            <w:pPr>
              <w:rPr>
                <w:rFonts w:cstheme="minorHAnsi"/>
                <w:sz w:val="16"/>
                <w:szCs w:val="16"/>
                <w:lang w:val="en-GB"/>
              </w:rPr>
            </w:pPr>
            <w:r w:rsidRPr="008714C3">
              <w:rPr>
                <w:rFonts w:cstheme="minorHAnsi"/>
                <w:sz w:val="16"/>
                <w:szCs w:val="16"/>
                <w:lang w:val="en-GB"/>
              </w:rPr>
              <w:t>2011</w:t>
            </w:r>
          </w:p>
          <w:p w14:paraId="0CDC1375" w14:textId="238FB266"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71E3151D" w14:textId="5ABBB06B"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2FAE00C8" w14:textId="0F3B5E2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 xml:space="preserve">To determine whether re-presentation to ED after discharge from hospital is related to insurance status and socioeconomic factors such as </w:t>
            </w:r>
            <w:r w:rsidR="008714C3" w:rsidRPr="008714C3">
              <w:rPr>
                <w:color w:val="000000"/>
                <w:sz w:val="16"/>
                <w:szCs w:val="16"/>
                <w:lang w:val="en-GB"/>
              </w:rPr>
              <w:t>neighbourhood</w:t>
            </w:r>
            <w:r w:rsidRPr="008714C3">
              <w:rPr>
                <w:color w:val="000000"/>
                <w:sz w:val="16"/>
                <w:szCs w:val="16"/>
                <w:lang w:val="en-GB"/>
              </w:rPr>
              <w:t xml:space="preserve"> income level</w:t>
            </w:r>
          </w:p>
        </w:tc>
        <w:tc>
          <w:tcPr>
            <w:tcW w:w="1689" w:type="dxa"/>
            <w:shd w:val="clear" w:color="auto" w:fill="D9D9D9" w:themeFill="background1" w:themeFillShade="D9"/>
          </w:tcPr>
          <w:p w14:paraId="4160CD40" w14:textId="60E34F39"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Trauma patients (n=6,675)</w:t>
            </w:r>
          </w:p>
        </w:tc>
        <w:tc>
          <w:tcPr>
            <w:tcW w:w="1692" w:type="dxa"/>
            <w:shd w:val="clear" w:color="auto" w:fill="D9D9D9" w:themeFill="background1" w:themeFillShade="D9"/>
          </w:tcPr>
          <w:p w14:paraId="0B63171A"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Total ED readmission</w:t>
            </w:r>
          </w:p>
          <w:p w14:paraId="39AEECDD" w14:textId="7379E84E"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sz w:val="16"/>
                <w:szCs w:val="16"/>
                <w:lang w:val="en-GB"/>
              </w:rPr>
              <w:t>(Re-presentation to the ED within 30 days of discharge)</w:t>
            </w:r>
          </w:p>
        </w:tc>
        <w:tc>
          <w:tcPr>
            <w:tcW w:w="1934" w:type="dxa"/>
            <w:shd w:val="clear" w:color="auto" w:fill="D9D9D9" w:themeFill="background1" w:themeFillShade="D9"/>
          </w:tcPr>
          <w:p w14:paraId="26D1EA74"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Insurance status</w:t>
            </w:r>
          </w:p>
          <w:p w14:paraId="5E1C3031"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7A71AFA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Public</w:t>
            </w:r>
          </w:p>
          <w:p w14:paraId="766C6A10"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Uninsured</w:t>
            </w:r>
          </w:p>
          <w:p w14:paraId="382DE445"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b. </w:t>
            </w:r>
            <w:r w:rsidRPr="008714C3">
              <w:rPr>
                <w:rFonts w:cstheme="minorHAnsi"/>
                <w:b/>
                <w:sz w:val="16"/>
                <w:szCs w:val="16"/>
                <w:u w:val="single"/>
                <w:lang w:val="en-GB"/>
              </w:rPr>
              <w:t>Median household income</w:t>
            </w:r>
          </w:p>
          <w:p w14:paraId="539AF9AA"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&gt;40,000 $)</w:t>
            </w:r>
          </w:p>
          <w:p w14:paraId="7B68DD59"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20,000-40,000 $</w:t>
            </w:r>
          </w:p>
          <w:p w14:paraId="06C1A13F" w14:textId="0100A36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ii. &lt;20,000 $</w:t>
            </w:r>
          </w:p>
        </w:tc>
        <w:tc>
          <w:tcPr>
            <w:tcW w:w="1955" w:type="dxa"/>
            <w:shd w:val="clear" w:color="auto" w:fill="D9D9D9" w:themeFill="background1" w:themeFillShade="D9"/>
          </w:tcPr>
          <w:p w14:paraId="108A95CB"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(95%CI)</w:t>
            </w:r>
          </w:p>
          <w:p w14:paraId="2FA156A1"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a.i</w:t>
            </w:r>
            <w:proofErr w:type="spellEnd"/>
            <w:r w:rsidRPr="00A7168F">
              <w:rPr>
                <w:rFonts w:cstheme="minorHAnsi"/>
                <w:b/>
                <w:sz w:val="16"/>
                <w:szCs w:val="16"/>
              </w:rPr>
              <w:t xml:space="preserve"> 1.64 (1.30-2.06)</w:t>
            </w:r>
          </w:p>
          <w:p w14:paraId="5B85213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a.ii</w:t>
            </w:r>
            <w:proofErr w:type="spellEnd"/>
            <w:r w:rsidRPr="008714C3">
              <w:rPr>
                <w:rFonts w:cstheme="minorHAnsi"/>
                <w:b/>
                <w:sz w:val="16"/>
                <w:szCs w:val="16"/>
                <w:lang w:val="en-GB"/>
              </w:rPr>
              <w:t xml:space="preserve"> 1.60 (1.20-2.14)</w:t>
            </w:r>
          </w:p>
          <w:p w14:paraId="1D57F81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b.i</w:t>
            </w:r>
            <w:proofErr w:type="spellEnd"/>
            <w:r w:rsidRPr="008714C3">
              <w:rPr>
                <w:rFonts w:cstheme="minorHAnsi"/>
                <w:b/>
                <w:sz w:val="16"/>
                <w:szCs w:val="16"/>
                <w:lang w:val="en-GB"/>
              </w:rPr>
              <w:t xml:space="preserve"> 1.42 (1.14-1.77)</w:t>
            </w:r>
          </w:p>
          <w:p w14:paraId="4D53A1E3" w14:textId="52D52F85"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b.ii</w:t>
            </w:r>
            <w:proofErr w:type="spellEnd"/>
            <w:r w:rsidRPr="008714C3">
              <w:rPr>
                <w:rFonts w:cstheme="minorHAnsi"/>
                <w:b/>
                <w:sz w:val="16"/>
                <w:szCs w:val="16"/>
                <w:lang w:val="en-GB"/>
              </w:rPr>
              <w:t xml:space="preserve"> 1.77 (1.37-2.29)</w:t>
            </w:r>
          </w:p>
        </w:tc>
        <w:tc>
          <w:tcPr>
            <w:tcW w:w="2218" w:type="dxa"/>
            <w:shd w:val="clear" w:color="auto" w:fill="D9D9D9" w:themeFill="background1" w:themeFillShade="D9"/>
          </w:tcPr>
          <w:p w14:paraId="1C765D8E" w14:textId="7398A29C"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Re-presentation </w:t>
            </w:r>
            <w:r w:rsidR="006F5BAA" w:rsidRPr="008714C3">
              <w:rPr>
                <w:rFonts w:cstheme="minorHAnsi"/>
                <w:sz w:val="16"/>
                <w:szCs w:val="16"/>
                <w:lang w:val="en-GB"/>
              </w:rPr>
              <w:t xml:space="preserve">to ED </w:t>
            </w:r>
            <w:r w:rsidRPr="008714C3">
              <w:rPr>
                <w:rFonts w:cstheme="minorHAnsi"/>
                <w:sz w:val="16"/>
                <w:szCs w:val="16"/>
                <w:lang w:val="en-GB"/>
              </w:rPr>
              <w:t>is associated with being uninsured or under</w:t>
            </w:r>
            <w:r w:rsidR="006F5BAA" w:rsidRPr="008714C3">
              <w:rPr>
                <w:rFonts w:cstheme="minorHAnsi"/>
                <w:sz w:val="16"/>
                <w:szCs w:val="16"/>
                <w:lang w:val="en-GB"/>
              </w:rPr>
              <w:t>-</w:t>
            </w:r>
            <w:r w:rsidRPr="008714C3">
              <w:rPr>
                <w:rFonts w:cstheme="minorHAnsi"/>
                <w:sz w:val="16"/>
                <w:szCs w:val="16"/>
                <w:lang w:val="en-GB"/>
              </w:rPr>
              <w:t xml:space="preserve">insured and with lower </w:t>
            </w:r>
            <w:r w:rsidR="008714C3" w:rsidRPr="008714C3">
              <w:rPr>
                <w:rFonts w:cstheme="minorHAnsi"/>
                <w:sz w:val="16"/>
                <w:szCs w:val="16"/>
                <w:lang w:val="en-GB"/>
              </w:rPr>
              <w:t>neighbourhood</w:t>
            </w:r>
            <w:r w:rsidRPr="008714C3">
              <w:rPr>
                <w:rFonts w:cstheme="minorHAnsi"/>
                <w:sz w:val="16"/>
                <w:szCs w:val="16"/>
                <w:lang w:val="en-GB"/>
              </w:rPr>
              <w:t xml:space="preserve"> income level. </w:t>
            </w:r>
          </w:p>
        </w:tc>
      </w:tr>
      <w:tr w:rsidR="008714C3" w:rsidRPr="00A7168F" w14:paraId="500476D5"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524A58FF" w14:textId="77777777" w:rsidR="00657CE3" w:rsidRPr="008714C3" w:rsidRDefault="00657CE3" w:rsidP="00657CE3">
            <w:pPr>
              <w:rPr>
                <w:rFonts w:cstheme="minorHAnsi"/>
                <w:sz w:val="16"/>
                <w:szCs w:val="16"/>
                <w:lang w:val="en-GB"/>
              </w:rPr>
            </w:pPr>
            <w:r w:rsidRPr="008714C3">
              <w:rPr>
                <w:rFonts w:cstheme="minorHAnsi"/>
                <w:sz w:val="16"/>
                <w:szCs w:val="16"/>
                <w:lang w:val="en-GB"/>
              </w:rPr>
              <w:t>Moy, E., et al.</w:t>
            </w:r>
          </w:p>
          <w:p w14:paraId="09450209" w14:textId="77777777" w:rsidR="00657CE3" w:rsidRPr="008714C3" w:rsidRDefault="00657CE3" w:rsidP="00657CE3">
            <w:pPr>
              <w:rPr>
                <w:rFonts w:cstheme="minorHAnsi"/>
                <w:sz w:val="16"/>
                <w:szCs w:val="16"/>
                <w:lang w:val="en-GB"/>
              </w:rPr>
            </w:pPr>
            <w:r w:rsidRPr="008714C3">
              <w:rPr>
                <w:rFonts w:cstheme="minorHAnsi"/>
                <w:sz w:val="16"/>
                <w:szCs w:val="16"/>
                <w:lang w:val="en-GB"/>
              </w:rPr>
              <w:t>2014</w:t>
            </w:r>
          </w:p>
          <w:p w14:paraId="187EC8B3" w14:textId="376BCD1D"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52E628CF" w14:textId="3DA8B411"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cross-sectional analysis</w:t>
            </w:r>
          </w:p>
        </w:tc>
        <w:tc>
          <w:tcPr>
            <w:tcW w:w="1782" w:type="dxa"/>
            <w:shd w:val="clear" w:color="auto" w:fill="D9D9D9" w:themeFill="background1" w:themeFillShade="D9"/>
          </w:tcPr>
          <w:p w14:paraId="62B8665D" w14:textId="0C10C48C"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To identify factors associated with the frequency of missed acute myocardial infarction (AMI) diagnosis in the ED</w:t>
            </w:r>
          </w:p>
        </w:tc>
        <w:tc>
          <w:tcPr>
            <w:tcW w:w="1689" w:type="dxa"/>
            <w:shd w:val="clear" w:color="auto" w:fill="D9D9D9" w:themeFill="background1" w:themeFillShade="D9"/>
          </w:tcPr>
          <w:p w14:paraId="573BDD78" w14:textId="7A50F690"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 evaluated for chest pain or cardiac conditions within 1 week of hospitalization (n=111,973)</w:t>
            </w:r>
          </w:p>
        </w:tc>
        <w:tc>
          <w:tcPr>
            <w:tcW w:w="1692" w:type="dxa"/>
            <w:shd w:val="clear" w:color="auto" w:fill="D9D9D9" w:themeFill="background1" w:themeFillShade="D9"/>
          </w:tcPr>
          <w:p w14:paraId="2EAC1CB6" w14:textId="7B750C8A"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ED missed diagnoses</w:t>
            </w:r>
            <w:r w:rsidRPr="008714C3">
              <w:rPr>
                <w:rStyle w:val="Appelnotedebasdep"/>
                <w:rFonts w:cstheme="minorHAnsi"/>
                <w:b/>
                <w:sz w:val="16"/>
                <w:szCs w:val="16"/>
                <w:lang w:val="en-GB"/>
              </w:rPr>
              <w:footnoteReference w:id="18"/>
            </w:r>
            <w:r w:rsidRPr="008714C3">
              <w:rPr>
                <w:rFonts w:cstheme="minorHAnsi"/>
                <w:b/>
                <w:sz w:val="16"/>
                <w:szCs w:val="16"/>
                <w:lang w:val="en-GB"/>
              </w:rPr>
              <w:t xml:space="preserve"> </w:t>
            </w:r>
            <w:r w:rsidRPr="008714C3">
              <w:rPr>
                <w:rFonts w:cstheme="minorHAnsi"/>
                <w:sz w:val="16"/>
                <w:szCs w:val="16"/>
                <w:lang w:val="en-GB"/>
              </w:rPr>
              <w:t>(of acute myocardial infarction (AMI))</w:t>
            </w:r>
            <w:r w:rsidRPr="008714C3">
              <w:rPr>
                <w:rFonts w:cstheme="minorHAnsi"/>
                <w:b/>
                <w:sz w:val="16"/>
                <w:szCs w:val="16"/>
                <w:lang w:val="en-GB"/>
              </w:rPr>
              <w:t xml:space="preserve"> </w:t>
            </w:r>
          </w:p>
        </w:tc>
        <w:tc>
          <w:tcPr>
            <w:tcW w:w="1934" w:type="dxa"/>
            <w:shd w:val="clear" w:color="auto" w:fill="D9D9D9" w:themeFill="background1" w:themeFillShade="D9"/>
          </w:tcPr>
          <w:p w14:paraId="42B89951"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Insurance status</w:t>
            </w:r>
            <w:r w:rsidRPr="008714C3">
              <w:rPr>
                <w:rFonts w:cstheme="minorHAnsi"/>
                <w:b/>
                <w:sz w:val="16"/>
                <w:szCs w:val="16"/>
                <w:lang w:val="en-GB"/>
              </w:rPr>
              <w:t xml:space="preserve"> </w:t>
            </w:r>
          </w:p>
          <w:p w14:paraId="3EDE963D"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lang w:val="en-GB"/>
              </w:rPr>
              <w:t>(Ref: private)</w:t>
            </w:r>
          </w:p>
          <w:p w14:paraId="7C366584"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i.Medicare</w:t>
            </w:r>
            <w:proofErr w:type="spellEnd"/>
          </w:p>
          <w:p w14:paraId="4DE18478"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ii. Medicaid </w:t>
            </w:r>
          </w:p>
          <w:p w14:paraId="5FA3D1D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iii. Uninsured</w:t>
            </w:r>
          </w:p>
          <w:p w14:paraId="2AB56A8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b. </w:t>
            </w:r>
            <w:r w:rsidRPr="008714C3">
              <w:rPr>
                <w:rFonts w:cstheme="minorHAnsi"/>
                <w:b/>
                <w:sz w:val="16"/>
                <w:szCs w:val="16"/>
                <w:u w:val="single"/>
                <w:lang w:val="en-GB"/>
              </w:rPr>
              <w:t>Median household income</w:t>
            </w:r>
          </w:p>
          <w:p w14:paraId="0CC3FBC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highest)</w:t>
            </w:r>
          </w:p>
          <w:p w14:paraId="559EF97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Moderate</w:t>
            </w:r>
          </w:p>
          <w:p w14:paraId="4ED5A4A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Low</w:t>
            </w:r>
          </w:p>
          <w:p w14:paraId="751A3A4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lastRenderedPageBreak/>
              <w:t>iii. Lowest</w:t>
            </w:r>
          </w:p>
          <w:p w14:paraId="1BD63CF9"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55" w:type="dxa"/>
            <w:shd w:val="clear" w:color="auto" w:fill="D9D9D9" w:themeFill="background1" w:themeFillShade="D9"/>
          </w:tcPr>
          <w:p w14:paraId="0A3AF56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lastRenderedPageBreak/>
              <w:t xml:space="preserve">Odds </w:t>
            </w:r>
            <w:proofErr w:type="spellStart"/>
            <w:r w:rsidRPr="008714C3">
              <w:rPr>
                <w:rFonts w:cstheme="minorHAnsi"/>
                <w:b/>
                <w:sz w:val="16"/>
                <w:szCs w:val="16"/>
                <w:lang w:val="en-GB"/>
              </w:rPr>
              <w:t>ration</w:t>
            </w:r>
            <w:proofErr w:type="spellEnd"/>
            <w:r w:rsidRPr="008714C3">
              <w:rPr>
                <w:rFonts w:cstheme="minorHAnsi"/>
                <w:b/>
                <w:sz w:val="16"/>
                <w:szCs w:val="16"/>
                <w:lang w:val="en-GB"/>
              </w:rPr>
              <w:t xml:space="preserve"> (p-value)</w:t>
            </w:r>
          </w:p>
          <w:p w14:paraId="12E49BFA"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a.i.</w:t>
            </w:r>
            <w:proofErr w:type="spellEnd"/>
            <w:r w:rsidRPr="008714C3">
              <w:rPr>
                <w:rFonts w:cstheme="minorHAnsi"/>
                <w:b/>
                <w:sz w:val="16"/>
                <w:szCs w:val="16"/>
                <w:lang w:val="en-GB"/>
              </w:rPr>
              <w:t xml:space="preserve"> 0.801 (p=0.0389)</w:t>
            </w:r>
          </w:p>
          <w:p w14:paraId="67408475"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proofErr w:type="gramStart"/>
            <w:r w:rsidRPr="008714C3">
              <w:rPr>
                <w:rFonts w:cstheme="minorHAnsi"/>
                <w:b/>
                <w:sz w:val="16"/>
                <w:szCs w:val="16"/>
                <w:lang w:val="en-GB"/>
              </w:rPr>
              <w:t>a.ii</w:t>
            </w:r>
            <w:proofErr w:type="spellEnd"/>
            <w:r w:rsidRPr="008714C3">
              <w:rPr>
                <w:rFonts w:cstheme="minorHAnsi"/>
                <w:b/>
                <w:sz w:val="16"/>
                <w:szCs w:val="16"/>
                <w:lang w:val="en-GB"/>
              </w:rPr>
              <w:t>.</w:t>
            </w:r>
            <w:proofErr w:type="gramEnd"/>
            <w:r w:rsidRPr="008714C3">
              <w:rPr>
                <w:rFonts w:cstheme="minorHAnsi"/>
                <w:b/>
                <w:sz w:val="16"/>
                <w:szCs w:val="16"/>
                <w:lang w:val="en-GB"/>
              </w:rPr>
              <w:t xml:space="preserve"> 1.124 (p=0.3938)</w:t>
            </w:r>
          </w:p>
          <w:p w14:paraId="31267703"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a.iii</w:t>
            </w:r>
            <w:proofErr w:type="spellEnd"/>
            <w:r w:rsidRPr="008714C3">
              <w:rPr>
                <w:rFonts w:cstheme="minorHAnsi"/>
                <w:b/>
                <w:sz w:val="16"/>
                <w:szCs w:val="16"/>
                <w:lang w:val="en-GB"/>
              </w:rPr>
              <w:t xml:space="preserve"> 0.871 (p=0.2798)</w:t>
            </w:r>
          </w:p>
          <w:p w14:paraId="2BB08742"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b.i</w:t>
            </w:r>
            <w:proofErr w:type="spellEnd"/>
            <w:r w:rsidRPr="008714C3">
              <w:rPr>
                <w:rFonts w:cstheme="minorHAnsi"/>
                <w:b/>
                <w:sz w:val="16"/>
                <w:szCs w:val="16"/>
                <w:lang w:val="en-GB"/>
              </w:rPr>
              <w:t>. 1.067 (p=0.6111)</w:t>
            </w:r>
          </w:p>
          <w:p w14:paraId="2E41A84C"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proofErr w:type="gramStart"/>
            <w:r w:rsidRPr="008714C3">
              <w:rPr>
                <w:rFonts w:cstheme="minorHAnsi"/>
                <w:b/>
                <w:sz w:val="16"/>
                <w:szCs w:val="16"/>
                <w:lang w:val="en-GB"/>
              </w:rPr>
              <w:t>b.ii</w:t>
            </w:r>
            <w:proofErr w:type="spellEnd"/>
            <w:r w:rsidRPr="008714C3">
              <w:rPr>
                <w:rFonts w:cstheme="minorHAnsi"/>
                <w:b/>
                <w:sz w:val="16"/>
                <w:szCs w:val="16"/>
                <w:lang w:val="en-GB"/>
              </w:rPr>
              <w:t>.</w:t>
            </w:r>
            <w:proofErr w:type="gramEnd"/>
            <w:r w:rsidRPr="008714C3">
              <w:rPr>
                <w:rFonts w:cstheme="minorHAnsi"/>
                <w:b/>
                <w:sz w:val="16"/>
                <w:szCs w:val="16"/>
                <w:lang w:val="en-GB"/>
              </w:rPr>
              <w:t xml:space="preserve"> 1.006 (p=0.9606)</w:t>
            </w:r>
          </w:p>
          <w:p w14:paraId="04EDE18B" w14:textId="27E243BA"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b.iii</w:t>
            </w:r>
            <w:proofErr w:type="spellEnd"/>
            <w:r w:rsidRPr="008714C3">
              <w:rPr>
                <w:rFonts w:cstheme="minorHAnsi"/>
                <w:b/>
                <w:sz w:val="16"/>
                <w:szCs w:val="16"/>
                <w:lang w:val="en-GB"/>
              </w:rPr>
              <w:t>. 0.906 (p=0.4550)</w:t>
            </w:r>
          </w:p>
        </w:tc>
        <w:tc>
          <w:tcPr>
            <w:tcW w:w="2218" w:type="dxa"/>
            <w:shd w:val="clear" w:color="auto" w:fill="D9D9D9" w:themeFill="background1" w:themeFillShade="D9"/>
          </w:tcPr>
          <w:p w14:paraId="2E4D016D" w14:textId="42DD2026"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The associations between missed diagnoses and expect payers (other than Medicare) and household income were not significant when </w:t>
            </w:r>
            <w:r w:rsidR="006F5BAA" w:rsidRPr="008714C3">
              <w:rPr>
                <w:rFonts w:cstheme="minorHAnsi"/>
                <w:sz w:val="16"/>
                <w:szCs w:val="16"/>
                <w:lang w:val="en-GB"/>
              </w:rPr>
              <w:t xml:space="preserve">controlling for </w:t>
            </w:r>
            <w:r w:rsidRPr="008714C3">
              <w:rPr>
                <w:rFonts w:cstheme="minorHAnsi"/>
                <w:sz w:val="16"/>
                <w:szCs w:val="16"/>
                <w:lang w:val="en-GB"/>
              </w:rPr>
              <w:t xml:space="preserve">other demographic and clinical conditions. </w:t>
            </w:r>
          </w:p>
          <w:p w14:paraId="5B3C77AE"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p w14:paraId="34F2571B" w14:textId="77777777" w:rsidR="00657CE3" w:rsidRPr="008714C3" w:rsidRDefault="00657CE3" w:rsidP="00657CE3">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p>
        </w:tc>
      </w:tr>
      <w:tr w:rsidR="008714C3" w:rsidRPr="00A7168F" w14:paraId="16ECF5C6"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9C83A2F" w14:textId="77777777" w:rsidR="00657CE3" w:rsidRPr="00F03413" w:rsidRDefault="00657CE3" w:rsidP="00657CE3">
            <w:pPr>
              <w:rPr>
                <w:rFonts w:cstheme="minorHAnsi"/>
                <w:sz w:val="16"/>
                <w:szCs w:val="16"/>
              </w:rPr>
            </w:pPr>
            <w:r w:rsidRPr="00F03413">
              <w:rPr>
                <w:rFonts w:cstheme="minorHAnsi"/>
                <w:sz w:val="16"/>
                <w:szCs w:val="16"/>
              </w:rPr>
              <w:lastRenderedPageBreak/>
              <w:t>Shah, A. A., et al.</w:t>
            </w:r>
          </w:p>
          <w:p w14:paraId="516CED19" w14:textId="77777777" w:rsidR="00657CE3" w:rsidRPr="008714C3" w:rsidRDefault="00657CE3" w:rsidP="00657CE3">
            <w:pPr>
              <w:rPr>
                <w:rFonts w:cstheme="minorHAnsi"/>
                <w:sz w:val="16"/>
                <w:szCs w:val="16"/>
                <w:lang w:val="en-GB"/>
              </w:rPr>
            </w:pPr>
            <w:r w:rsidRPr="008714C3">
              <w:rPr>
                <w:rFonts w:cstheme="minorHAnsi"/>
                <w:sz w:val="16"/>
                <w:szCs w:val="16"/>
                <w:lang w:val="en-GB"/>
              </w:rPr>
              <w:t>2015</w:t>
            </w:r>
          </w:p>
          <w:p w14:paraId="17B0E036" w14:textId="5AD0B19F" w:rsidR="00657CE3" w:rsidRPr="008714C3" w:rsidRDefault="00657CE3" w:rsidP="00657CE3">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779648E9" w14:textId="133AFCED"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population-based cohort study</w:t>
            </w:r>
          </w:p>
        </w:tc>
        <w:tc>
          <w:tcPr>
            <w:tcW w:w="1782" w:type="dxa"/>
            <w:shd w:val="clear" w:color="auto" w:fill="D9D9D9" w:themeFill="background1" w:themeFillShade="D9"/>
          </w:tcPr>
          <w:p w14:paraId="5B7815EB" w14:textId="34A51EF0"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color w:val="000000"/>
                <w:sz w:val="16"/>
                <w:szCs w:val="16"/>
                <w:lang w:val="en-GB"/>
              </w:rPr>
              <w:t xml:space="preserve">To determine the predictors of in-hospital complications and mortality </w:t>
            </w:r>
            <w:proofErr w:type="gramStart"/>
            <w:r w:rsidRPr="008714C3">
              <w:rPr>
                <w:color w:val="000000"/>
                <w:sz w:val="16"/>
                <w:szCs w:val="16"/>
                <w:lang w:val="en-GB"/>
              </w:rPr>
              <w:t xml:space="preserve">among </w:t>
            </w:r>
            <w:r w:rsidR="006F5BAA" w:rsidRPr="008714C3">
              <w:rPr>
                <w:rFonts w:cstheme="minorHAnsi"/>
                <w:sz w:val="16"/>
                <w:szCs w:val="16"/>
                <w:lang w:val="en-GB"/>
              </w:rPr>
              <w:t xml:space="preserve"> emergency</w:t>
            </w:r>
            <w:proofErr w:type="gramEnd"/>
            <w:r w:rsidR="006F5BAA" w:rsidRPr="008714C3">
              <w:rPr>
                <w:rFonts w:cstheme="minorHAnsi"/>
                <w:sz w:val="16"/>
                <w:szCs w:val="16"/>
                <w:lang w:val="en-GB"/>
              </w:rPr>
              <w:t xml:space="preserve"> general surgery (</w:t>
            </w:r>
            <w:r w:rsidRPr="008714C3">
              <w:rPr>
                <w:color w:val="000000"/>
                <w:sz w:val="16"/>
                <w:szCs w:val="16"/>
                <w:lang w:val="en-GB"/>
              </w:rPr>
              <w:t>EGS</w:t>
            </w:r>
            <w:r w:rsidR="006F5BAA" w:rsidRPr="008714C3">
              <w:rPr>
                <w:color w:val="000000"/>
                <w:sz w:val="16"/>
                <w:szCs w:val="16"/>
                <w:lang w:val="en-GB"/>
              </w:rPr>
              <w:t>)</w:t>
            </w:r>
            <w:r w:rsidRPr="008714C3">
              <w:rPr>
                <w:color w:val="000000"/>
                <w:sz w:val="16"/>
                <w:szCs w:val="16"/>
                <w:lang w:val="en-GB"/>
              </w:rPr>
              <w:t xml:space="preserve"> patients</w:t>
            </w:r>
            <w:r w:rsidRPr="008714C3">
              <w:rPr>
                <w:rFonts w:cstheme="minorHAnsi"/>
                <w:sz w:val="16"/>
                <w:szCs w:val="16"/>
                <w:lang w:val="en-GB"/>
              </w:rPr>
              <w:t xml:space="preserve"> </w:t>
            </w:r>
          </w:p>
        </w:tc>
        <w:tc>
          <w:tcPr>
            <w:tcW w:w="1689" w:type="dxa"/>
            <w:shd w:val="clear" w:color="auto" w:fill="D9D9D9" w:themeFill="background1" w:themeFillShade="D9"/>
          </w:tcPr>
          <w:p w14:paraId="28EDBB34" w14:textId="38395878" w:rsidR="00657CE3" w:rsidRPr="008714C3" w:rsidRDefault="00657CE3" w:rsidP="006F5BAA">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Patient 16 and older with primary diagnosis and sub-diagnosis of an EGS condition</w:t>
            </w:r>
            <w:r w:rsidRPr="008714C3">
              <w:rPr>
                <w:rStyle w:val="Appelnotedebasdep"/>
                <w:rFonts w:cstheme="minorHAnsi"/>
                <w:sz w:val="16"/>
                <w:szCs w:val="16"/>
                <w:lang w:val="en-GB"/>
              </w:rPr>
              <w:footnoteReference w:id="19"/>
            </w:r>
            <w:r w:rsidRPr="008714C3">
              <w:rPr>
                <w:rFonts w:cstheme="minorHAnsi"/>
                <w:sz w:val="16"/>
                <w:szCs w:val="16"/>
                <w:lang w:val="en-GB"/>
              </w:rPr>
              <w:t xml:space="preserve"> (n=32,910,446)</w:t>
            </w:r>
          </w:p>
        </w:tc>
        <w:tc>
          <w:tcPr>
            <w:tcW w:w="1692" w:type="dxa"/>
            <w:shd w:val="clear" w:color="auto" w:fill="D9D9D9" w:themeFill="background1" w:themeFillShade="D9"/>
          </w:tcPr>
          <w:p w14:paraId="6C08F0DC" w14:textId="5853C1BE"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1.Major adverse events</w:t>
            </w:r>
            <w:r w:rsidRPr="008714C3">
              <w:rPr>
                <w:rFonts w:cstheme="minorHAnsi"/>
                <w:b/>
                <w:sz w:val="16"/>
                <w:szCs w:val="16"/>
                <w:lang w:val="en-GB"/>
              </w:rPr>
              <w:t xml:space="preserve"> </w:t>
            </w:r>
          </w:p>
          <w:p w14:paraId="433383C5" w14:textId="2E0D27D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2. In-hospital mortality</w:t>
            </w:r>
          </w:p>
        </w:tc>
        <w:tc>
          <w:tcPr>
            <w:tcW w:w="1934" w:type="dxa"/>
            <w:shd w:val="clear" w:color="auto" w:fill="D9D9D9" w:themeFill="background1" w:themeFillShade="D9"/>
          </w:tcPr>
          <w:p w14:paraId="49BDA5E4"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Insurance status</w:t>
            </w:r>
            <w:r w:rsidRPr="008714C3">
              <w:rPr>
                <w:rFonts w:cstheme="minorHAnsi"/>
                <w:b/>
                <w:sz w:val="16"/>
                <w:szCs w:val="16"/>
                <w:lang w:val="en-GB"/>
              </w:rPr>
              <w:t xml:space="preserve"> </w:t>
            </w:r>
          </w:p>
          <w:p w14:paraId="0B91E64F"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773D2D4D"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Government</w:t>
            </w:r>
          </w:p>
          <w:p w14:paraId="00FFE38E"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Uninsured</w:t>
            </w:r>
          </w:p>
          <w:p w14:paraId="73C9665F" w14:textId="48CD8D71" w:rsidR="00657CE3" w:rsidRPr="008714C3" w:rsidRDefault="00A827A9"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 xml:space="preserve">b. </w:t>
            </w:r>
            <w:r w:rsidR="00657CE3" w:rsidRPr="008714C3">
              <w:rPr>
                <w:rFonts w:cstheme="minorHAnsi"/>
                <w:b/>
                <w:sz w:val="16"/>
                <w:szCs w:val="16"/>
                <w:u w:val="single"/>
                <w:lang w:val="en-GB"/>
              </w:rPr>
              <w:t>Median household Income quartile</w:t>
            </w:r>
            <w:r w:rsidR="00657CE3" w:rsidRPr="008714C3">
              <w:rPr>
                <w:rFonts w:cstheme="minorHAnsi"/>
                <w:b/>
                <w:sz w:val="16"/>
                <w:szCs w:val="16"/>
                <w:lang w:val="en-GB"/>
              </w:rPr>
              <w:br/>
              <w:t>(Ref: lowest)</w:t>
            </w:r>
          </w:p>
          <w:p w14:paraId="106935AA"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roofErr w:type="spellStart"/>
            <w:r w:rsidRPr="008714C3">
              <w:rPr>
                <w:rFonts w:cstheme="minorHAnsi"/>
                <w:b/>
                <w:sz w:val="16"/>
                <w:szCs w:val="16"/>
                <w:lang w:val="en-GB"/>
              </w:rPr>
              <w:t>i</w:t>
            </w:r>
            <w:proofErr w:type="spellEnd"/>
            <w:r w:rsidRPr="008714C3">
              <w:rPr>
                <w:rFonts w:cstheme="minorHAnsi"/>
                <w:b/>
                <w:sz w:val="16"/>
                <w:szCs w:val="16"/>
                <w:lang w:val="en-GB"/>
              </w:rPr>
              <w:t>. Second</w:t>
            </w:r>
          </w:p>
          <w:p w14:paraId="2F3C7008"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 Third</w:t>
            </w:r>
          </w:p>
          <w:p w14:paraId="3CA2C25E"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iii. Fourth</w:t>
            </w:r>
          </w:p>
          <w:p w14:paraId="2A52FA27"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u w:val="single"/>
                <w:lang w:val="en-GB"/>
              </w:rPr>
            </w:pPr>
          </w:p>
        </w:tc>
        <w:tc>
          <w:tcPr>
            <w:tcW w:w="1955" w:type="dxa"/>
            <w:shd w:val="clear" w:color="auto" w:fill="D9D9D9" w:themeFill="background1" w:themeFillShade="D9"/>
          </w:tcPr>
          <w:p w14:paraId="4B07535C"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 CI)</w:t>
            </w:r>
          </w:p>
          <w:p w14:paraId="7315C7A3"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1.a.i. 1.15 (1.14-1.15)</w:t>
            </w:r>
          </w:p>
          <w:p w14:paraId="2598A28A"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1.a.ii 1.06 (1.04-1.08)</w:t>
            </w:r>
          </w:p>
          <w:p w14:paraId="6BA05861"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1.b.i. 1.01 (1.00-1.02)</w:t>
            </w:r>
          </w:p>
          <w:p w14:paraId="016B6FB0"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1.</w:t>
            </w:r>
            <w:proofErr w:type="gramStart"/>
            <w:r w:rsidRPr="00A7168F">
              <w:rPr>
                <w:rFonts w:cstheme="minorHAnsi"/>
                <w:b/>
                <w:sz w:val="16"/>
                <w:szCs w:val="16"/>
              </w:rPr>
              <w:t>b.ii.</w:t>
            </w:r>
            <w:proofErr w:type="gramEnd"/>
            <w:r w:rsidRPr="00A7168F">
              <w:rPr>
                <w:rFonts w:cstheme="minorHAnsi"/>
                <w:b/>
                <w:sz w:val="16"/>
                <w:szCs w:val="16"/>
              </w:rPr>
              <w:t xml:space="preserve"> 1.03 (1.02-1.04)</w:t>
            </w:r>
          </w:p>
          <w:p w14:paraId="11A85C87"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1.b.iii 1.00 (1.00-1.02)</w:t>
            </w:r>
          </w:p>
          <w:p w14:paraId="02F25342"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2.a.i. 1.08 (1.06-1.10)</w:t>
            </w:r>
          </w:p>
          <w:p w14:paraId="2570AA09"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2.a.ii 1.25 (1.20-1.30)</w:t>
            </w:r>
          </w:p>
          <w:p w14:paraId="6E37ED0E"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2.b.i. 0.98 (0.96-0.99)</w:t>
            </w:r>
          </w:p>
          <w:p w14:paraId="728E19BF"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rPr>
            </w:pPr>
            <w:r w:rsidRPr="00A7168F">
              <w:rPr>
                <w:rFonts w:cstheme="minorHAnsi"/>
                <w:b/>
                <w:sz w:val="16"/>
                <w:szCs w:val="16"/>
              </w:rPr>
              <w:t>2.</w:t>
            </w:r>
            <w:proofErr w:type="gramStart"/>
            <w:r w:rsidRPr="00A7168F">
              <w:rPr>
                <w:rFonts w:cstheme="minorHAnsi"/>
                <w:b/>
                <w:sz w:val="16"/>
                <w:szCs w:val="16"/>
              </w:rPr>
              <w:t>b.ii.</w:t>
            </w:r>
            <w:proofErr w:type="gramEnd"/>
            <w:r w:rsidRPr="00A7168F">
              <w:rPr>
                <w:rFonts w:cstheme="minorHAnsi"/>
                <w:b/>
                <w:sz w:val="16"/>
                <w:szCs w:val="16"/>
              </w:rPr>
              <w:t xml:space="preserve"> 0.92 (0.90-0.93)</w:t>
            </w:r>
          </w:p>
          <w:p w14:paraId="4C537EFD" w14:textId="507EACF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2.b.iii. 0.86 (0.84-0.88)</w:t>
            </w:r>
          </w:p>
        </w:tc>
        <w:tc>
          <w:tcPr>
            <w:tcW w:w="2218" w:type="dxa"/>
            <w:shd w:val="clear" w:color="auto" w:fill="D9D9D9" w:themeFill="background1" w:themeFillShade="D9"/>
          </w:tcPr>
          <w:p w14:paraId="3A3B7B10" w14:textId="382738FB"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Uninsured patients </w:t>
            </w:r>
            <w:r w:rsidR="006F5BAA" w:rsidRPr="008714C3">
              <w:rPr>
                <w:rFonts w:cstheme="minorHAnsi"/>
                <w:sz w:val="16"/>
                <w:szCs w:val="16"/>
                <w:lang w:val="en-GB"/>
              </w:rPr>
              <w:t>were at higher risk for death</w:t>
            </w:r>
            <w:r w:rsidR="008C1254" w:rsidRPr="008714C3">
              <w:rPr>
                <w:rFonts w:cstheme="minorHAnsi"/>
                <w:sz w:val="16"/>
                <w:szCs w:val="16"/>
                <w:lang w:val="en-GB"/>
              </w:rPr>
              <w:t xml:space="preserve"> compared to government or private insured patients. P</w:t>
            </w:r>
            <w:r w:rsidRPr="008714C3">
              <w:rPr>
                <w:rFonts w:cstheme="minorHAnsi"/>
                <w:sz w:val="16"/>
                <w:szCs w:val="16"/>
                <w:lang w:val="en-GB"/>
              </w:rPr>
              <w:t>atients in the highest income quartile</w:t>
            </w:r>
            <w:r w:rsidR="008C1254" w:rsidRPr="008714C3">
              <w:rPr>
                <w:rFonts w:cstheme="minorHAnsi"/>
                <w:sz w:val="16"/>
                <w:szCs w:val="16"/>
                <w:lang w:val="en-GB"/>
              </w:rPr>
              <w:t xml:space="preserve"> had the least likelihood of mortality</w:t>
            </w:r>
            <w:r w:rsidRPr="008714C3">
              <w:rPr>
                <w:rFonts w:cstheme="minorHAnsi"/>
                <w:sz w:val="16"/>
                <w:szCs w:val="16"/>
                <w:lang w:val="en-GB"/>
              </w:rPr>
              <w:t xml:space="preserve"> after an EGS condition. </w:t>
            </w:r>
          </w:p>
        </w:tc>
      </w:tr>
      <w:tr w:rsidR="00802901" w:rsidRPr="00A7168F" w14:paraId="490432DD" w14:textId="77777777" w:rsidTr="007E1F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0383E00A" w14:textId="011272FD" w:rsidR="00802901" w:rsidRPr="008714C3" w:rsidRDefault="00802901" w:rsidP="00802901">
            <w:pPr>
              <w:tabs>
                <w:tab w:val="left" w:pos="5446"/>
              </w:tabs>
              <w:rPr>
                <w:rFonts w:cstheme="minorHAnsi"/>
                <w:sz w:val="16"/>
                <w:szCs w:val="16"/>
                <w:lang w:val="en-GB"/>
              </w:rPr>
            </w:pPr>
            <w:r w:rsidRPr="008714C3">
              <w:rPr>
                <w:rFonts w:cstheme="minorHAnsi"/>
                <w:sz w:val="16"/>
                <w:szCs w:val="16"/>
                <w:lang w:val="en-GB"/>
              </w:rPr>
              <w:t>EDUCATION LEVEL WITH/WITHOUT INSURANCE STATUS</w:t>
            </w:r>
          </w:p>
          <w:p w14:paraId="75368E76" w14:textId="77777777" w:rsidR="00802901" w:rsidRPr="008714C3" w:rsidRDefault="00802901" w:rsidP="00802901">
            <w:pPr>
              <w:tabs>
                <w:tab w:val="left" w:pos="5446"/>
              </w:tabs>
              <w:rPr>
                <w:rFonts w:cstheme="minorHAnsi"/>
                <w:sz w:val="16"/>
                <w:szCs w:val="16"/>
                <w:lang w:val="en-GB"/>
              </w:rPr>
            </w:pPr>
            <w:r w:rsidRPr="008714C3">
              <w:rPr>
                <w:rFonts w:cstheme="minorHAnsi"/>
                <w:sz w:val="16"/>
                <w:szCs w:val="16"/>
                <w:lang w:val="en-GB"/>
              </w:rPr>
              <w:tab/>
            </w:r>
          </w:p>
        </w:tc>
      </w:tr>
      <w:tr w:rsidR="008714C3" w:rsidRPr="00A7168F" w14:paraId="314DAE9C" w14:textId="77777777" w:rsidTr="00656610">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974FA92" w14:textId="77777777" w:rsidR="00657CE3" w:rsidRPr="00A7168F" w:rsidRDefault="00657CE3" w:rsidP="00657CE3">
            <w:pPr>
              <w:rPr>
                <w:rFonts w:cstheme="minorHAnsi"/>
                <w:sz w:val="16"/>
                <w:szCs w:val="16"/>
              </w:rPr>
            </w:pPr>
            <w:r w:rsidRPr="00A7168F">
              <w:rPr>
                <w:rFonts w:cstheme="minorHAnsi"/>
                <w:sz w:val="16"/>
                <w:szCs w:val="16"/>
              </w:rPr>
              <w:t>Yap, S., et al.</w:t>
            </w:r>
          </w:p>
          <w:p w14:paraId="57BD8FB9" w14:textId="77777777" w:rsidR="00657CE3" w:rsidRPr="00A7168F" w:rsidRDefault="00657CE3" w:rsidP="00657CE3">
            <w:pPr>
              <w:rPr>
                <w:rFonts w:cstheme="minorHAnsi"/>
                <w:sz w:val="16"/>
                <w:szCs w:val="16"/>
              </w:rPr>
            </w:pPr>
            <w:r w:rsidRPr="00A7168F">
              <w:rPr>
                <w:rFonts w:cstheme="minorHAnsi"/>
                <w:sz w:val="16"/>
                <w:szCs w:val="16"/>
              </w:rPr>
              <w:t>2018</w:t>
            </w:r>
          </w:p>
          <w:p w14:paraId="2D01823B" w14:textId="1E3FA080" w:rsidR="00657CE3" w:rsidRPr="00A7168F" w:rsidRDefault="00657CE3" w:rsidP="00657CE3">
            <w:pPr>
              <w:rPr>
                <w:rFonts w:cstheme="minorHAnsi"/>
                <w:sz w:val="16"/>
                <w:szCs w:val="16"/>
              </w:rPr>
            </w:pPr>
            <w:proofErr w:type="spellStart"/>
            <w:r w:rsidRPr="00A7168F">
              <w:rPr>
                <w:rFonts w:cstheme="minorHAnsi"/>
                <w:sz w:val="16"/>
                <w:szCs w:val="16"/>
              </w:rPr>
              <w:t>Australia</w:t>
            </w:r>
            <w:proofErr w:type="spellEnd"/>
          </w:p>
        </w:tc>
        <w:tc>
          <w:tcPr>
            <w:tcW w:w="1485" w:type="dxa"/>
            <w:shd w:val="clear" w:color="auto" w:fill="D9D9D9" w:themeFill="background1" w:themeFillShade="D9"/>
          </w:tcPr>
          <w:p w14:paraId="2DEDE7E7" w14:textId="09FCFE62"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1AE653EC" w14:textId="49B7ABB3"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color w:val="000000"/>
                <w:sz w:val="16"/>
                <w:szCs w:val="16"/>
                <w:lang w:val="en-GB"/>
              </w:rPr>
            </w:pPr>
            <w:r w:rsidRPr="008714C3">
              <w:rPr>
                <w:rFonts w:ascii="Calibri" w:hAnsi="Calibri"/>
                <w:color w:val="000000"/>
                <w:sz w:val="16"/>
                <w:szCs w:val="16"/>
                <w:lang w:val="en-GB"/>
              </w:rPr>
              <w:t>To examine patients’ characteristics associated with presenting to ED around the time of diagnosis</w:t>
            </w:r>
          </w:p>
        </w:tc>
        <w:tc>
          <w:tcPr>
            <w:tcW w:w="1689" w:type="dxa"/>
            <w:shd w:val="clear" w:color="auto" w:fill="D9D9D9" w:themeFill="background1" w:themeFillShade="D9"/>
          </w:tcPr>
          <w:p w14:paraId="112E57C2" w14:textId="2642D16A"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lang w:val="en-GB"/>
              </w:rPr>
            </w:pPr>
            <w:r w:rsidRPr="008714C3">
              <w:rPr>
                <w:rFonts w:cstheme="minorHAnsi"/>
                <w:color w:val="000000"/>
                <w:sz w:val="16"/>
                <w:szCs w:val="16"/>
                <w:lang w:val="en-GB"/>
              </w:rPr>
              <w:t>Patient newly diagnosed with non-small cell lung cancer (n=647)</w:t>
            </w:r>
          </w:p>
        </w:tc>
        <w:tc>
          <w:tcPr>
            <w:tcW w:w="1692" w:type="dxa"/>
            <w:shd w:val="clear" w:color="auto" w:fill="D9D9D9" w:themeFill="background1" w:themeFillShade="D9"/>
          </w:tcPr>
          <w:p w14:paraId="39E96AD8" w14:textId="6C688BBF"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“Emergency presenters”</w:t>
            </w:r>
            <w:r w:rsidRPr="008714C3">
              <w:rPr>
                <w:rFonts w:cstheme="minorHAnsi"/>
                <w:b/>
                <w:sz w:val="16"/>
                <w:szCs w:val="16"/>
                <w:lang w:val="en-GB"/>
              </w:rPr>
              <w:t xml:space="preserve"> </w:t>
            </w:r>
            <w:r w:rsidRPr="008714C3">
              <w:rPr>
                <w:rFonts w:cstheme="minorHAnsi"/>
                <w:sz w:val="16"/>
                <w:szCs w:val="16"/>
                <w:lang w:val="en-GB"/>
              </w:rPr>
              <w:t>(presenting to an emergency department around the time of diagnosis)</w:t>
            </w:r>
          </w:p>
        </w:tc>
        <w:tc>
          <w:tcPr>
            <w:tcW w:w="1934" w:type="dxa"/>
            <w:shd w:val="clear" w:color="auto" w:fill="D9D9D9" w:themeFill="background1" w:themeFillShade="D9"/>
          </w:tcPr>
          <w:p w14:paraId="01C62017" w14:textId="2F120DF5" w:rsidR="00657CE3"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 xml:space="preserve">a. </w:t>
            </w:r>
            <w:r w:rsidR="00657CE3" w:rsidRPr="008714C3">
              <w:rPr>
                <w:rFonts w:cstheme="minorHAnsi"/>
                <w:b/>
                <w:sz w:val="16"/>
                <w:szCs w:val="16"/>
                <w:u w:val="single"/>
                <w:lang w:val="en-GB"/>
              </w:rPr>
              <w:t>Education level</w:t>
            </w:r>
            <w:r w:rsidR="00657CE3" w:rsidRPr="008714C3">
              <w:rPr>
                <w:rFonts w:cstheme="minorHAnsi"/>
                <w:b/>
                <w:sz w:val="16"/>
                <w:szCs w:val="16"/>
                <w:lang w:val="en-GB"/>
              </w:rPr>
              <w:t xml:space="preserve"> </w:t>
            </w:r>
          </w:p>
          <w:p w14:paraId="28C9D604"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no school certificate)</w:t>
            </w:r>
          </w:p>
          <w:p w14:paraId="6224321E" w14:textId="50BE92E3" w:rsidR="00657CE3"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proofErr w:type="spellStart"/>
            <w:r w:rsidRPr="008714C3">
              <w:rPr>
                <w:rFonts w:cstheme="minorHAnsi"/>
                <w:b/>
                <w:sz w:val="16"/>
                <w:szCs w:val="16"/>
                <w:lang w:val="en-GB"/>
              </w:rPr>
              <w:t>i</w:t>
            </w:r>
            <w:proofErr w:type="spellEnd"/>
            <w:r w:rsidR="00657CE3" w:rsidRPr="008714C3">
              <w:rPr>
                <w:rFonts w:cstheme="minorHAnsi"/>
                <w:b/>
                <w:sz w:val="16"/>
                <w:szCs w:val="16"/>
                <w:lang w:val="en-GB"/>
              </w:rPr>
              <w:t>. School certificate</w:t>
            </w:r>
          </w:p>
          <w:p w14:paraId="21A39180" w14:textId="73BD5E2E" w:rsidR="00657CE3"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w:t>
            </w:r>
            <w:r w:rsidR="00657CE3" w:rsidRPr="008714C3">
              <w:rPr>
                <w:rFonts w:cstheme="minorHAnsi"/>
                <w:b/>
                <w:sz w:val="16"/>
                <w:szCs w:val="16"/>
                <w:lang w:val="en-GB"/>
              </w:rPr>
              <w:t>. Trade/Certificate/ Diploma/HSC</w:t>
            </w:r>
          </w:p>
          <w:p w14:paraId="4904B2FF" w14:textId="33E0D591" w:rsidR="00657CE3"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iii</w:t>
            </w:r>
            <w:r w:rsidR="00657CE3" w:rsidRPr="008714C3">
              <w:rPr>
                <w:rFonts w:cstheme="minorHAnsi"/>
                <w:b/>
                <w:sz w:val="16"/>
                <w:szCs w:val="16"/>
                <w:lang w:val="en-GB"/>
              </w:rPr>
              <w:t>. University degree</w:t>
            </w:r>
          </w:p>
          <w:p w14:paraId="5453B9BA" w14:textId="6A046349" w:rsidR="00263E3B" w:rsidRPr="008714C3" w:rsidRDefault="00263E3B" w:rsidP="00263E3B">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u w:val="single"/>
                <w:lang w:val="en-GB"/>
              </w:rPr>
              <w:t>b.</w:t>
            </w:r>
            <w:r w:rsidR="006F5BAA" w:rsidRPr="008714C3">
              <w:rPr>
                <w:rFonts w:cstheme="minorHAnsi"/>
                <w:b/>
                <w:sz w:val="16"/>
                <w:szCs w:val="16"/>
                <w:u w:val="single"/>
                <w:lang w:val="en-GB"/>
              </w:rPr>
              <w:t xml:space="preserve"> </w:t>
            </w:r>
            <w:r w:rsidRPr="008714C3">
              <w:rPr>
                <w:rFonts w:cstheme="minorHAnsi"/>
                <w:b/>
                <w:sz w:val="16"/>
                <w:szCs w:val="16"/>
                <w:u w:val="single"/>
                <w:lang w:val="en-GB"/>
              </w:rPr>
              <w:t>Insurance status</w:t>
            </w:r>
          </w:p>
          <w:p w14:paraId="2B08ED49" w14:textId="77777777" w:rsidR="00263E3B" w:rsidRPr="008714C3" w:rsidRDefault="00263E3B" w:rsidP="00263E3B">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private)</w:t>
            </w:r>
          </w:p>
          <w:p w14:paraId="1083E5C2" w14:textId="77777777" w:rsidR="00263E3B" w:rsidRPr="008714C3" w:rsidRDefault="00263E3B" w:rsidP="00263E3B">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Not private</w:t>
            </w:r>
          </w:p>
          <w:p w14:paraId="4AB4B13E" w14:textId="1B11A4DB" w:rsidR="00263E3B"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
        </w:tc>
        <w:tc>
          <w:tcPr>
            <w:tcW w:w="1955" w:type="dxa"/>
            <w:shd w:val="clear" w:color="auto" w:fill="D9D9D9" w:themeFill="background1" w:themeFillShade="D9"/>
          </w:tcPr>
          <w:p w14:paraId="0EEE38BB" w14:textId="77777777"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color w:val="000000" w:themeColor="text1"/>
                <w:sz w:val="16"/>
                <w:szCs w:val="16"/>
              </w:rPr>
            </w:pPr>
            <w:proofErr w:type="spellStart"/>
            <w:r w:rsidRPr="00A7168F">
              <w:rPr>
                <w:rFonts w:cstheme="minorHAnsi"/>
                <w:b/>
                <w:color w:val="000000" w:themeColor="text1"/>
                <w:sz w:val="16"/>
                <w:szCs w:val="16"/>
              </w:rPr>
              <w:t>Odds</w:t>
            </w:r>
            <w:proofErr w:type="spellEnd"/>
            <w:r w:rsidRPr="00A7168F">
              <w:rPr>
                <w:rFonts w:cstheme="minorHAnsi"/>
                <w:b/>
                <w:color w:val="000000" w:themeColor="text1"/>
                <w:sz w:val="16"/>
                <w:szCs w:val="16"/>
              </w:rPr>
              <w:t xml:space="preserve"> ratio (95% CI)</w:t>
            </w:r>
          </w:p>
          <w:p w14:paraId="6403293C" w14:textId="536DFAAF" w:rsidR="00657CE3" w:rsidRPr="00A7168F"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color w:val="000000" w:themeColor="text1"/>
                <w:sz w:val="16"/>
                <w:szCs w:val="16"/>
              </w:rPr>
            </w:pPr>
            <w:proofErr w:type="spellStart"/>
            <w:r w:rsidRPr="00A7168F">
              <w:rPr>
                <w:rFonts w:cstheme="minorHAnsi"/>
                <w:b/>
                <w:color w:val="000000" w:themeColor="text1"/>
                <w:sz w:val="16"/>
                <w:szCs w:val="16"/>
              </w:rPr>
              <w:t>a.</w:t>
            </w:r>
            <w:r w:rsidR="00263E3B" w:rsidRPr="00A7168F">
              <w:rPr>
                <w:rFonts w:cstheme="minorHAnsi"/>
                <w:b/>
                <w:color w:val="000000" w:themeColor="text1"/>
                <w:sz w:val="16"/>
                <w:szCs w:val="16"/>
              </w:rPr>
              <w:t>i</w:t>
            </w:r>
            <w:proofErr w:type="spellEnd"/>
            <w:r w:rsidR="00263E3B" w:rsidRPr="00A7168F">
              <w:rPr>
                <w:rFonts w:cstheme="minorHAnsi"/>
                <w:b/>
                <w:color w:val="000000" w:themeColor="text1"/>
                <w:sz w:val="16"/>
                <w:szCs w:val="16"/>
              </w:rPr>
              <w:t>.</w:t>
            </w:r>
            <w:r w:rsidRPr="00A7168F">
              <w:rPr>
                <w:rFonts w:cstheme="minorHAnsi"/>
                <w:b/>
                <w:color w:val="000000" w:themeColor="text1"/>
                <w:sz w:val="16"/>
                <w:szCs w:val="16"/>
              </w:rPr>
              <w:t xml:space="preserve"> 0.97 (0.58-1.63)</w:t>
            </w:r>
          </w:p>
          <w:p w14:paraId="6851D1B0" w14:textId="4E7FC52B" w:rsidR="00657CE3"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color w:val="000000" w:themeColor="text1"/>
                <w:sz w:val="16"/>
                <w:szCs w:val="16"/>
                <w:lang w:val="en-GB"/>
              </w:rPr>
            </w:pPr>
            <w:proofErr w:type="spellStart"/>
            <w:proofErr w:type="gramStart"/>
            <w:r w:rsidRPr="008714C3">
              <w:rPr>
                <w:rFonts w:cstheme="minorHAnsi"/>
                <w:b/>
                <w:color w:val="000000" w:themeColor="text1"/>
                <w:sz w:val="16"/>
                <w:szCs w:val="16"/>
                <w:lang w:val="en-GB"/>
              </w:rPr>
              <w:t>a</w:t>
            </w:r>
            <w:r w:rsidR="00657CE3" w:rsidRPr="008714C3">
              <w:rPr>
                <w:rFonts w:cstheme="minorHAnsi"/>
                <w:b/>
                <w:color w:val="000000" w:themeColor="text1"/>
                <w:sz w:val="16"/>
                <w:szCs w:val="16"/>
                <w:lang w:val="en-GB"/>
              </w:rPr>
              <w:t>.</w:t>
            </w:r>
            <w:r w:rsidRPr="008714C3">
              <w:rPr>
                <w:rFonts w:cstheme="minorHAnsi"/>
                <w:b/>
                <w:color w:val="000000" w:themeColor="text1"/>
                <w:sz w:val="16"/>
                <w:szCs w:val="16"/>
                <w:lang w:val="en-GB"/>
              </w:rPr>
              <w:t>ii</w:t>
            </w:r>
            <w:proofErr w:type="spellEnd"/>
            <w:r w:rsidRPr="008714C3">
              <w:rPr>
                <w:rFonts w:cstheme="minorHAnsi"/>
                <w:b/>
                <w:color w:val="000000" w:themeColor="text1"/>
                <w:sz w:val="16"/>
                <w:szCs w:val="16"/>
                <w:lang w:val="en-GB"/>
              </w:rPr>
              <w:t>.</w:t>
            </w:r>
            <w:proofErr w:type="gramEnd"/>
            <w:r w:rsidR="00657CE3" w:rsidRPr="008714C3">
              <w:rPr>
                <w:rFonts w:cstheme="minorHAnsi"/>
                <w:b/>
                <w:color w:val="000000" w:themeColor="text1"/>
                <w:sz w:val="16"/>
                <w:szCs w:val="16"/>
                <w:lang w:val="en-GB"/>
              </w:rPr>
              <w:t xml:space="preserve"> 0.67 (0.41-1.11)</w:t>
            </w:r>
          </w:p>
          <w:p w14:paraId="25E6468C" w14:textId="017D76B0" w:rsidR="00657CE3"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color w:val="000000" w:themeColor="text1"/>
                <w:sz w:val="16"/>
                <w:szCs w:val="16"/>
                <w:lang w:val="en-GB"/>
              </w:rPr>
            </w:pPr>
            <w:proofErr w:type="spellStart"/>
            <w:r w:rsidRPr="008714C3">
              <w:rPr>
                <w:rFonts w:cstheme="minorHAnsi"/>
                <w:b/>
                <w:color w:val="000000" w:themeColor="text1"/>
                <w:sz w:val="16"/>
                <w:szCs w:val="16"/>
                <w:lang w:val="en-GB"/>
              </w:rPr>
              <w:t>a</w:t>
            </w:r>
            <w:r w:rsidR="00657CE3" w:rsidRPr="008714C3">
              <w:rPr>
                <w:rFonts w:cstheme="minorHAnsi"/>
                <w:b/>
                <w:color w:val="000000" w:themeColor="text1"/>
                <w:sz w:val="16"/>
                <w:szCs w:val="16"/>
                <w:lang w:val="en-GB"/>
              </w:rPr>
              <w:t>.</w:t>
            </w:r>
            <w:r w:rsidRPr="008714C3">
              <w:rPr>
                <w:rFonts w:cstheme="minorHAnsi"/>
                <w:b/>
                <w:color w:val="000000" w:themeColor="text1"/>
                <w:sz w:val="16"/>
                <w:szCs w:val="16"/>
                <w:lang w:val="en-GB"/>
              </w:rPr>
              <w:t>iii</w:t>
            </w:r>
            <w:proofErr w:type="spellEnd"/>
            <w:r w:rsidR="00657CE3" w:rsidRPr="008714C3">
              <w:rPr>
                <w:rFonts w:cstheme="minorHAnsi"/>
                <w:b/>
                <w:color w:val="000000" w:themeColor="text1"/>
                <w:sz w:val="16"/>
                <w:szCs w:val="16"/>
                <w:lang w:val="en-GB"/>
              </w:rPr>
              <w:t xml:space="preserve"> 0.49 (0.24-0.99)</w:t>
            </w:r>
          </w:p>
          <w:p w14:paraId="24CCD3C5" w14:textId="77777777" w:rsidR="00263E3B" w:rsidRPr="008714C3" w:rsidRDefault="00263E3B" w:rsidP="00263E3B">
            <w:pPr>
              <w:cnfStyle w:val="000000000000" w:firstRow="0" w:lastRow="0" w:firstColumn="0" w:lastColumn="0" w:oddVBand="0" w:evenVBand="0" w:oddHBand="0" w:evenHBand="0" w:firstRowFirstColumn="0" w:firstRowLastColumn="0" w:lastRowFirstColumn="0" w:lastRowLastColumn="0"/>
              <w:rPr>
                <w:rFonts w:cstheme="minorHAnsi"/>
                <w:b/>
                <w:color w:val="000000" w:themeColor="text1"/>
                <w:sz w:val="16"/>
                <w:szCs w:val="16"/>
                <w:lang w:val="en-GB"/>
              </w:rPr>
            </w:pPr>
            <w:r w:rsidRPr="008714C3">
              <w:rPr>
                <w:rFonts w:cstheme="minorHAnsi"/>
                <w:b/>
                <w:color w:val="000000" w:themeColor="text1"/>
                <w:sz w:val="16"/>
                <w:szCs w:val="16"/>
                <w:lang w:val="en-GB"/>
              </w:rPr>
              <w:t>b.1.28 (0.86-1.90)</w:t>
            </w:r>
          </w:p>
          <w:p w14:paraId="453EF922" w14:textId="1BE853DD" w:rsidR="00263E3B" w:rsidRPr="008714C3" w:rsidRDefault="00263E3B" w:rsidP="00657CE3">
            <w:pPr>
              <w:cnfStyle w:val="000000000000" w:firstRow="0" w:lastRow="0" w:firstColumn="0" w:lastColumn="0" w:oddVBand="0" w:evenVBand="0" w:oddHBand="0" w:evenHBand="0" w:firstRowFirstColumn="0" w:firstRowLastColumn="0" w:lastRowFirstColumn="0" w:lastRowLastColumn="0"/>
              <w:rPr>
                <w:rFonts w:cstheme="minorHAnsi"/>
                <w:b/>
                <w:color w:val="000000" w:themeColor="text1"/>
                <w:sz w:val="16"/>
                <w:szCs w:val="16"/>
                <w:lang w:val="en-GB"/>
              </w:rPr>
            </w:pPr>
          </w:p>
          <w:p w14:paraId="11006A06" w14:textId="77777777" w:rsidR="00657CE3" w:rsidRPr="008714C3" w:rsidRDefault="00657CE3" w:rsidP="00657CE3">
            <w:pPr>
              <w:cnfStyle w:val="000000000000" w:firstRow="0" w:lastRow="0" w:firstColumn="0" w:lastColumn="0" w:oddVBand="0" w:evenVBand="0" w:oddHBand="0" w:evenHBand="0" w:firstRowFirstColumn="0" w:firstRowLastColumn="0" w:lastRowFirstColumn="0" w:lastRowLastColumn="0"/>
              <w:rPr>
                <w:rFonts w:cstheme="minorHAnsi"/>
                <w:b/>
                <w:sz w:val="16"/>
                <w:szCs w:val="16"/>
                <w:lang w:val="en-GB"/>
              </w:rPr>
            </w:pPr>
          </w:p>
        </w:tc>
        <w:tc>
          <w:tcPr>
            <w:tcW w:w="2218" w:type="dxa"/>
            <w:shd w:val="clear" w:color="auto" w:fill="D9D9D9" w:themeFill="background1" w:themeFillShade="D9"/>
          </w:tcPr>
          <w:p w14:paraId="57F01B21" w14:textId="53C1D398" w:rsidR="00657CE3" w:rsidRPr="008714C3" w:rsidRDefault="00657CE3" w:rsidP="00F72100">
            <w:pPr>
              <w:cnfStyle w:val="000000000000" w:firstRow="0" w:lastRow="0" w:firstColumn="0" w:lastColumn="0" w:oddVBand="0" w:evenVBand="0" w:oddHBand="0"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The risk of being an “emergency presenters” seems to follow an educational-level gradient. </w:t>
            </w:r>
          </w:p>
        </w:tc>
      </w:tr>
      <w:tr w:rsidR="008714C3" w:rsidRPr="00A7168F" w14:paraId="62F03643"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CD2EFDE" w14:textId="77777777" w:rsidR="00802901" w:rsidRPr="00F03413" w:rsidRDefault="00802901" w:rsidP="00802901">
            <w:pPr>
              <w:rPr>
                <w:rFonts w:cstheme="minorHAnsi"/>
                <w:sz w:val="16"/>
                <w:szCs w:val="16"/>
                <w:lang w:val="de-CH"/>
              </w:rPr>
            </w:pPr>
            <w:proofErr w:type="spellStart"/>
            <w:r w:rsidRPr="00F03413">
              <w:rPr>
                <w:rFonts w:cstheme="minorHAnsi"/>
                <w:sz w:val="16"/>
                <w:szCs w:val="16"/>
                <w:lang w:val="de-CH"/>
              </w:rPr>
              <w:t>Stecksén</w:t>
            </w:r>
            <w:proofErr w:type="spellEnd"/>
            <w:r w:rsidRPr="00F03413">
              <w:rPr>
                <w:rFonts w:cstheme="minorHAnsi"/>
                <w:sz w:val="16"/>
                <w:szCs w:val="16"/>
                <w:lang w:val="de-CH"/>
              </w:rPr>
              <w:t>, A., et al.</w:t>
            </w:r>
          </w:p>
          <w:p w14:paraId="0348FBAF" w14:textId="77777777" w:rsidR="00802901" w:rsidRPr="00F03413" w:rsidRDefault="00802901" w:rsidP="00802901">
            <w:pPr>
              <w:rPr>
                <w:rFonts w:cstheme="minorHAnsi"/>
                <w:sz w:val="16"/>
                <w:szCs w:val="16"/>
                <w:lang w:val="de-CH"/>
              </w:rPr>
            </w:pPr>
            <w:r w:rsidRPr="00F03413">
              <w:rPr>
                <w:rFonts w:cstheme="minorHAnsi"/>
                <w:sz w:val="16"/>
                <w:szCs w:val="16"/>
                <w:lang w:val="de-CH"/>
              </w:rPr>
              <w:t>2014</w:t>
            </w:r>
          </w:p>
          <w:p w14:paraId="4AE8200D" w14:textId="21EC087F" w:rsidR="00802901" w:rsidRPr="00F03413" w:rsidRDefault="00802901" w:rsidP="00802901">
            <w:pPr>
              <w:rPr>
                <w:rFonts w:cstheme="minorHAnsi"/>
                <w:sz w:val="16"/>
                <w:szCs w:val="16"/>
                <w:lang w:val="de-CH"/>
              </w:rPr>
            </w:pPr>
            <w:proofErr w:type="spellStart"/>
            <w:r w:rsidRPr="00F03413">
              <w:rPr>
                <w:rFonts w:cstheme="minorHAnsi"/>
                <w:sz w:val="16"/>
                <w:szCs w:val="16"/>
                <w:lang w:val="de-CH"/>
              </w:rPr>
              <w:t>Sweden</w:t>
            </w:r>
            <w:proofErr w:type="spellEnd"/>
          </w:p>
        </w:tc>
        <w:tc>
          <w:tcPr>
            <w:tcW w:w="1485" w:type="dxa"/>
            <w:shd w:val="clear" w:color="auto" w:fill="D9D9D9" w:themeFill="background1" w:themeFillShade="D9"/>
          </w:tcPr>
          <w:p w14:paraId="46226392" w14:textId="770EB226"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Retrospective cohort study</w:t>
            </w:r>
          </w:p>
        </w:tc>
        <w:tc>
          <w:tcPr>
            <w:tcW w:w="1782" w:type="dxa"/>
            <w:shd w:val="clear" w:color="auto" w:fill="D9D9D9" w:themeFill="background1" w:themeFillShade="D9"/>
          </w:tcPr>
          <w:p w14:paraId="3052B181" w14:textId="4561DF2E"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ascii="Calibri" w:hAnsi="Calibri"/>
                <w:color w:val="000000"/>
                <w:sz w:val="16"/>
                <w:szCs w:val="16"/>
                <w:lang w:val="en-GB"/>
              </w:rPr>
            </w:pPr>
            <w:r w:rsidRPr="008714C3">
              <w:rPr>
                <w:color w:val="000000"/>
                <w:sz w:val="16"/>
                <w:szCs w:val="16"/>
                <w:lang w:val="en-GB"/>
              </w:rPr>
              <w:t xml:space="preserve">To test whether patient education level is associated with </w:t>
            </w:r>
            <w:r w:rsidR="006F5BAA" w:rsidRPr="008714C3">
              <w:rPr>
                <w:color w:val="000000"/>
                <w:sz w:val="16"/>
                <w:szCs w:val="16"/>
                <w:lang w:val="en-GB"/>
              </w:rPr>
              <w:t xml:space="preserve">receiving </w:t>
            </w:r>
            <w:r w:rsidRPr="008714C3">
              <w:rPr>
                <w:color w:val="000000"/>
                <w:sz w:val="16"/>
                <w:szCs w:val="16"/>
                <w:lang w:val="en-GB"/>
              </w:rPr>
              <w:t>reperfusion treatment</w:t>
            </w:r>
          </w:p>
        </w:tc>
        <w:tc>
          <w:tcPr>
            <w:tcW w:w="1689" w:type="dxa"/>
            <w:shd w:val="clear" w:color="auto" w:fill="D9D9D9" w:themeFill="background1" w:themeFillShade="D9"/>
          </w:tcPr>
          <w:p w14:paraId="6F70770E" w14:textId="570FA34E"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lang w:val="en-GB"/>
              </w:rPr>
            </w:pPr>
            <w:r w:rsidRPr="008714C3">
              <w:rPr>
                <w:rFonts w:cstheme="minorHAnsi"/>
                <w:sz w:val="16"/>
                <w:szCs w:val="16"/>
                <w:lang w:val="en-GB"/>
              </w:rPr>
              <w:t>Patients with ischemic stroke (n=85,885)</w:t>
            </w:r>
          </w:p>
        </w:tc>
        <w:tc>
          <w:tcPr>
            <w:tcW w:w="1692" w:type="dxa"/>
            <w:shd w:val="clear" w:color="auto" w:fill="D9D9D9" w:themeFill="background1" w:themeFillShade="D9"/>
          </w:tcPr>
          <w:p w14:paraId="0DF8B950"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Specific procedure</w:t>
            </w:r>
          </w:p>
          <w:p w14:paraId="48944215" w14:textId="19E9DA9A"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Reperfusion therapy</w:t>
            </w:r>
          </w:p>
        </w:tc>
        <w:tc>
          <w:tcPr>
            <w:tcW w:w="1934" w:type="dxa"/>
            <w:shd w:val="clear" w:color="auto" w:fill="D9D9D9" w:themeFill="background1" w:themeFillShade="D9"/>
          </w:tcPr>
          <w:p w14:paraId="3B7403B0"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u w:val="single"/>
                <w:lang w:val="en-GB"/>
              </w:rPr>
              <w:t>Education level</w:t>
            </w:r>
          </w:p>
          <w:p w14:paraId="6CBE4430"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(Ref: primary)</w:t>
            </w:r>
          </w:p>
          <w:p w14:paraId="5A4AC9B1"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a. Secondary</w:t>
            </w:r>
          </w:p>
          <w:p w14:paraId="022866A4"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b. University</w:t>
            </w:r>
          </w:p>
          <w:p w14:paraId="7AB7EBFA"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55" w:type="dxa"/>
            <w:shd w:val="clear" w:color="auto" w:fill="D9D9D9" w:themeFill="background1" w:themeFillShade="D9"/>
          </w:tcPr>
          <w:p w14:paraId="62F66529" w14:textId="77777777" w:rsidR="00802901" w:rsidRPr="00A7168F"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(95%CI)</w:t>
            </w:r>
          </w:p>
          <w:p w14:paraId="2193CFF5" w14:textId="77777777" w:rsidR="00802901" w:rsidRPr="00A7168F"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a. 1.08 (1.00-1.17)</w:t>
            </w:r>
          </w:p>
          <w:p w14:paraId="7CE4D98A" w14:textId="3E9DB05D" w:rsidR="00802901" w:rsidRPr="00A7168F"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color w:val="000000" w:themeColor="text1"/>
                <w:sz w:val="16"/>
                <w:szCs w:val="16"/>
              </w:rPr>
            </w:pPr>
            <w:r w:rsidRPr="00A7168F">
              <w:rPr>
                <w:rFonts w:cstheme="minorHAnsi"/>
                <w:b/>
                <w:sz w:val="16"/>
                <w:szCs w:val="16"/>
              </w:rPr>
              <w:t>b. 1.14 (1.03-1.26)</w:t>
            </w:r>
          </w:p>
        </w:tc>
        <w:tc>
          <w:tcPr>
            <w:tcW w:w="2218" w:type="dxa"/>
            <w:shd w:val="clear" w:color="auto" w:fill="D9D9D9" w:themeFill="background1" w:themeFillShade="D9"/>
          </w:tcPr>
          <w:p w14:paraId="727A8FEC" w14:textId="4DDF42F6" w:rsidR="00802901" w:rsidRPr="008714C3" w:rsidRDefault="00802901"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Reperfusion therapy for stroke is associated with higher patient education level. </w:t>
            </w:r>
          </w:p>
        </w:tc>
      </w:tr>
      <w:tr w:rsidR="00802901" w:rsidRPr="008714C3" w14:paraId="13DA8B83" w14:textId="77777777" w:rsidTr="007E1FA0">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414D8238" w14:textId="660728D4" w:rsidR="00802901" w:rsidRPr="008714C3" w:rsidRDefault="00802901" w:rsidP="00802901">
            <w:pPr>
              <w:tabs>
                <w:tab w:val="left" w:pos="5446"/>
              </w:tabs>
              <w:rPr>
                <w:rFonts w:cstheme="minorHAnsi"/>
                <w:sz w:val="16"/>
                <w:szCs w:val="16"/>
                <w:lang w:val="en-GB"/>
              </w:rPr>
            </w:pPr>
            <w:r w:rsidRPr="008714C3">
              <w:rPr>
                <w:rFonts w:cstheme="minorHAnsi"/>
                <w:sz w:val="16"/>
                <w:szCs w:val="16"/>
                <w:lang w:val="en-GB"/>
              </w:rPr>
              <w:t>HEALTH LITERACY</w:t>
            </w:r>
          </w:p>
          <w:p w14:paraId="55896AFF" w14:textId="5A6A842F" w:rsidR="00802901" w:rsidRPr="008714C3" w:rsidRDefault="00802901" w:rsidP="00CC1B21">
            <w:pPr>
              <w:tabs>
                <w:tab w:val="left" w:pos="5446"/>
                <w:tab w:val="left" w:pos="6017"/>
              </w:tabs>
              <w:rPr>
                <w:rFonts w:cstheme="minorHAnsi"/>
                <w:sz w:val="16"/>
                <w:szCs w:val="16"/>
                <w:lang w:val="en-GB"/>
              </w:rPr>
            </w:pPr>
            <w:r w:rsidRPr="008714C3">
              <w:rPr>
                <w:rFonts w:cstheme="minorHAnsi"/>
                <w:sz w:val="16"/>
                <w:szCs w:val="16"/>
                <w:lang w:val="en-GB"/>
              </w:rPr>
              <w:tab/>
            </w:r>
            <w:r w:rsidR="00CC1B21" w:rsidRPr="008714C3">
              <w:rPr>
                <w:rFonts w:cstheme="minorHAnsi"/>
                <w:sz w:val="16"/>
                <w:szCs w:val="16"/>
                <w:lang w:val="en-GB"/>
              </w:rPr>
              <w:tab/>
            </w:r>
          </w:p>
        </w:tc>
      </w:tr>
      <w:tr w:rsidR="008714C3" w:rsidRPr="00A7168F" w14:paraId="2D71D329"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31F1A3D0" w14:textId="77777777" w:rsidR="00802901" w:rsidRPr="00F03413" w:rsidRDefault="00802901" w:rsidP="00802901">
            <w:pPr>
              <w:rPr>
                <w:rFonts w:cstheme="minorHAnsi"/>
                <w:sz w:val="16"/>
                <w:szCs w:val="16"/>
              </w:rPr>
            </w:pPr>
            <w:proofErr w:type="spellStart"/>
            <w:r w:rsidRPr="00F03413">
              <w:rPr>
                <w:rFonts w:cstheme="minorHAnsi"/>
                <w:sz w:val="16"/>
                <w:szCs w:val="16"/>
              </w:rPr>
              <w:t>Balakrishnan</w:t>
            </w:r>
            <w:proofErr w:type="spellEnd"/>
            <w:r w:rsidRPr="00F03413">
              <w:rPr>
                <w:rFonts w:cstheme="minorHAnsi"/>
                <w:sz w:val="16"/>
                <w:szCs w:val="16"/>
              </w:rPr>
              <w:t xml:space="preserve">, M. P., et al. </w:t>
            </w:r>
          </w:p>
          <w:p w14:paraId="1E26325D" w14:textId="77777777" w:rsidR="00802901" w:rsidRPr="008714C3" w:rsidRDefault="00802901" w:rsidP="00802901">
            <w:pPr>
              <w:rPr>
                <w:rFonts w:cstheme="minorHAnsi"/>
                <w:sz w:val="16"/>
                <w:szCs w:val="16"/>
                <w:lang w:val="en-GB"/>
              </w:rPr>
            </w:pPr>
            <w:r w:rsidRPr="008714C3">
              <w:rPr>
                <w:rFonts w:cstheme="minorHAnsi"/>
                <w:sz w:val="16"/>
                <w:szCs w:val="16"/>
                <w:lang w:val="en-GB"/>
              </w:rPr>
              <w:t>2017</w:t>
            </w:r>
          </w:p>
          <w:p w14:paraId="4695F025" w14:textId="3A66DE6C" w:rsidR="00802901" w:rsidRPr="008714C3" w:rsidRDefault="00802901" w:rsidP="00802901">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012AA76B" w14:textId="176F9766"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Observational cross-sectional study</w:t>
            </w:r>
          </w:p>
        </w:tc>
        <w:tc>
          <w:tcPr>
            <w:tcW w:w="1782" w:type="dxa"/>
            <w:shd w:val="clear" w:color="auto" w:fill="D9D9D9" w:themeFill="background1" w:themeFillShade="D9"/>
          </w:tcPr>
          <w:p w14:paraId="5C655D88" w14:textId="2F0FE671"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ascii="Calibri" w:hAnsi="Calibri"/>
                <w:color w:val="000000"/>
                <w:sz w:val="16"/>
                <w:szCs w:val="16"/>
                <w:lang w:val="en-GB"/>
              </w:rPr>
            </w:pPr>
            <w:r w:rsidRPr="008714C3">
              <w:rPr>
                <w:color w:val="000000"/>
                <w:sz w:val="16"/>
                <w:szCs w:val="16"/>
                <w:lang w:val="en-GB"/>
              </w:rPr>
              <w:t>To determine the association of health literacy with preventable ED visits</w:t>
            </w:r>
          </w:p>
        </w:tc>
        <w:tc>
          <w:tcPr>
            <w:tcW w:w="1689" w:type="dxa"/>
            <w:shd w:val="clear" w:color="auto" w:fill="D9D9D9" w:themeFill="background1" w:themeFillShade="D9"/>
          </w:tcPr>
          <w:p w14:paraId="37C203F3" w14:textId="10085458"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lang w:val="en-GB"/>
              </w:rPr>
            </w:pPr>
            <w:r w:rsidRPr="008714C3">
              <w:rPr>
                <w:rFonts w:cstheme="minorHAnsi"/>
                <w:sz w:val="16"/>
                <w:szCs w:val="16"/>
                <w:lang w:val="en-GB"/>
              </w:rPr>
              <w:t>Adults and English-speaking patients. (Excluded patients with impaired vision, hearing problems, being in police custody, or being too ill to participate) (n=1,201)</w:t>
            </w:r>
          </w:p>
        </w:tc>
        <w:tc>
          <w:tcPr>
            <w:tcW w:w="1692" w:type="dxa"/>
            <w:shd w:val="clear" w:color="auto" w:fill="D9D9D9" w:themeFill="background1" w:themeFillShade="D9"/>
          </w:tcPr>
          <w:p w14:paraId="6218D327" w14:textId="10838985"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 xml:space="preserve">1. Total </w:t>
            </w:r>
            <w:r w:rsidR="006F5BAA" w:rsidRPr="008714C3">
              <w:rPr>
                <w:rFonts w:cstheme="minorHAnsi"/>
                <w:b/>
                <w:sz w:val="16"/>
                <w:szCs w:val="16"/>
                <w:u w:val="single"/>
                <w:lang w:val="en-GB"/>
              </w:rPr>
              <w:t>p</w:t>
            </w:r>
            <w:r w:rsidRPr="008714C3">
              <w:rPr>
                <w:rFonts w:cstheme="minorHAnsi"/>
                <w:b/>
                <w:sz w:val="16"/>
                <w:szCs w:val="16"/>
                <w:u w:val="single"/>
                <w:lang w:val="en-GB"/>
              </w:rPr>
              <w:t xml:space="preserve">otentially </w:t>
            </w:r>
            <w:r w:rsidR="006F5BAA" w:rsidRPr="008714C3">
              <w:rPr>
                <w:rFonts w:cstheme="minorHAnsi"/>
                <w:b/>
                <w:sz w:val="16"/>
                <w:szCs w:val="16"/>
                <w:u w:val="single"/>
                <w:lang w:val="en-GB"/>
              </w:rPr>
              <w:t>p</w:t>
            </w:r>
            <w:r w:rsidRPr="008714C3">
              <w:rPr>
                <w:rFonts w:cstheme="minorHAnsi"/>
                <w:b/>
                <w:sz w:val="16"/>
                <w:szCs w:val="16"/>
                <w:u w:val="single"/>
                <w:lang w:val="en-GB"/>
              </w:rPr>
              <w:t>reventable ED visits</w:t>
            </w:r>
            <w:r w:rsidRPr="008714C3">
              <w:rPr>
                <w:rFonts w:cstheme="minorHAnsi"/>
                <w:b/>
                <w:sz w:val="16"/>
                <w:szCs w:val="16"/>
                <w:lang w:val="en-GB"/>
              </w:rPr>
              <w:t xml:space="preserve"> </w:t>
            </w:r>
          </w:p>
          <w:p w14:paraId="6D697BD9" w14:textId="217FC30B"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2. Potentially </w:t>
            </w:r>
            <w:r w:rsidR="006F5BAA" w:rsidRPr="008714C3">
              <w:rPr>
                <w:rFonts w:cstheme="minorHAnsi"/>
                <w:b/>
                <w:sz w:val="16"/>
                <w:szCs w:val="16"/>
                <w:lang w:val="en-GB"/>
              </w:rPr>
              <w:t>p</w:t>
            </w:r>
            <w:r w:rsidRPr="008714C3">
              <w:rPr>
                <w:rFonts w:cstheme="minorHAnsi"/>
                <w:b/>
                <w:sz w:val="16"/>
                <w:szCs w:val="16"/>
                <w:lang w:val="en-GB"/>
              </w:rPr>
              <w:t xml:space="preserve">reventable ED visits </w:t>
            </w:r>
            <w:r w:rsidR="006F5BAA" w:rsidRPr="008714C3">
              <w:rPr>
                <w:rFonts w:cstheme="minorHAnsi"/>
                <w:b/>
                <w:sz w:val="16"/>
                <w:szCs w:val="16"/>
                <w:lang w:val="en-GB"/>
              </w:rPr>
              <w:t>r</w:t>
            </w:r>
            <w:r w:rsidRPr="008714C3">
              <w:rPr>
                <w:rFonts w:cstheme="minorHAnsi"/>
                <w:b/>
                <w:sz w:val="16"/>
                <w:szCs w:val="16"/>
                <w:lang w:val="en-GB"/>
              </w:rPr>
              <w:t xml:space="preserve">esulting in </w:t>
            </w:r>
            <w:r w:rsidR="006F5BAA" w:rsidRPr="008714C3">
              <w:rPr>
                <w:rFonts w:cstheme="minorHAnsi"/>
                <w:b/>
                <w:sz w:val="16"/>
                <w:szCs w:val="16"/>
                <w:lang w:val="en-GB"/>
              </w:rPr>
              <w:t>h</w:t>
            </w:r>
            <w:r w:rsidRPr="008714C3">
              <w:rPr>
                <w:rFonts w:cstheme="minorHAnsi"/>
                <w:b/>
                <w:sz w:val="16"/>
                <w:szCs w:val="16"/>
                <w:lang w:val="en-GB"/>
              </w:rPr>
              <w:t xml:space="preserve">ospital </w:t>
            </w:r>
            <w:r w:rsidR="006F5BAA" w:rsidRPr="008714C3">
              <w:rPr>
                <w:rFonts w:cstheme="minorHAnsi"/>
                <w:b/>
                <w:sz w:val="16"/>
                <w:szCs w:val="16"/>
                <w:lang w:val="en-GB"/>
              </w:rPr>
              <w:t>a</w:t>
            </w:r>
            <w:r w:rsidRPr="008714C3">
              <w:rPr>
                <w:rFonts w:cstheme="minorHAnsi"/>
                <w:b/>
                <w:sz w:val="16"/>
                <w:szCs w:val="16"/>
                <w:lang w:val="en-GB"/>
              </w:rPr>
              <w:t>dmission</w:t>
            </w:r>
          </w:p>
          <w:p w14:paraId="291E428B" w14:textId="2D98E638"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3. Potentially </w:t>
            </w:r>
            <w:r w:rsidR="006F5BAA" w:rsidRPr="008714C3">
              <w:rPr>
                <w:rFonts w:cstheme="minorHAnsi"/>
                <w:b/>
                <w:sz w:val="16"/>
                <w:szCs w:val="16"/>
                <w:lang w:val="en-GB"/>
              </w:rPr>
              <w:t>p</w:t>
            </w:r>
            <w:r w:rsidRPr="008714C3">
              <w:rPr>
                <w:rFonts w:cstheme="minorHAnsi"/>
                <w:b/>
                <w:sz w:val="16"/>
                <w:szCs w:val="16"/>
                <w:lang w:val="en-GB"/>
              </w:rPr>
              <w:t xml:space="preserve">reventable </w:t>
            </w:r>
            <w:r w:rsidR="006F5BAA" w:rsidRPr="008714C3">
              <w:rPr>
                <w:rFonts w:cstheme="minorHAnsi"/>
                <w:b/>
                <w:sz w:val="16"/>
                <w:szCs w:val="16"/>
                <w:lang w:val="en-GB"/>
              </w:rPr>
              <w:t>t</w:t>
            </w:r>
            <w:r w:rsidRPr="008714C3">
              <w:rPr>
                <w:rFonts w:cstheme="minorHAnsi"/>
                <w:b/>
                <w:sz w:val="16"/>
                <w:szCs w:val="16"/>
                <w:lang w:val="en-GB"/>
              </w:rPr>
              <w:t>reat-</w:t>
            </w:r>
            <w:r w:rsidRPr="008714C3">
              <w:rPr>
                <w:rFonts w:cstheme="minorHAnsi"/>
                <w:b/>
                <w:sz w:val="16"/>
                <w:szCs w:val="16"/>
                <w:lang w:val="en-GB"/>
              </w:rPr>
              <w:lastRenderedPageBreak/>
              <w:t>and-release ED visits</w:t>
            </w:r>
          </w:p>
        </w:tc>
        <w:tc>
          <w:tcPr>
            <w:tcW w:w="1934" w:type="dxa"/>
            <w:shd w:val="clear" w:color="auto" w:fill="D9D9D9" w:themeFill="background1" w:themeFillShade="D9"/>
          </w:tcPr>
          <w:p w14:paraId="1F3B3511" w14:textId="77777777"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lastRenderedPageBreak/>
              <w:t>Health literacy</w:t>
            </w:r>
            <w:r w:rsidRPr="008714C3">
              <w:rPr>
                <w:rFonts w:cstheme="minorHAnsi"/>
                <w:b/>
                <w:sz w:val="16"/>
                <w:szCs w:val="16"/>
                <w:lang w:val="en-GB"/>
              </w:rPr>
              <w:t xml:space="preserve"> </w:t>
            </w:r>
            <w:r w:rsidRPr="008714C3">
              <w:rPr>
                <w:rFonts w:cstheme="minorHAnsi"/>
                <w:sz w:val="16"/>
                <w:szCs w:val="16"/>
                <w:lang w:val="en-GB"/>
              </w:rPr>
              <w:t>(assessed by the Rapid Estimate of Adult Literacy in Medicine (REALM)</w:t>
            </w:r>
            <w:r w:rsidRPr="008714C3">
              <w:rPr>
                <w:rStyle w:val="Appelnotedebasdep"/>
                <w:rFonts w:cstheme="minorHAnsi"/>
                <w:sz w:val="16"/>
                <w:szCs w:val="16"/>
                <w:lang w:val="en-GB"/>
              </w:rPr>
              <w:footnoteReference w:id="20"/>
            </w:r>
            <w:r w:rsidRPr="008714C3">
              <w:rPr>
                <w:rFonts w:cstheme="minorHAnsi"/>
                <w:sz w:val="16"/>
                <w:szCs w:val="16"/>
                <w:lang w:val="en-GB"/>
              </w:rPr>
              <w:t>)</w:t>
            </w:r>
          </w:p>
          <w:p w14:paraId="08EB89FE" w14:textId="3D6FA2F8"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sz w:val="16"/>
                <w:szCs w:val="16"/>
                <w:lang w:val="en-GB"/>
              </w:rPr>
              <w:t>Limited (REALM &lt; 61) versus adequate (REALM &gt;= 61) health literacy</w:t>
            </w:r>
          </w:p>
        </w:tc>
        <w:tc>
          <w:tcPr>
            <w:tcW w:w="1955" w:type="dxa"/>
            <w:shd w:val="clear" w:color="auto" w:fill="D9D9D9" w:themeFill="background1" w:themeFillShade="D9"/>
          </w:tcPr>
          <w:p w14:paraId="6DEE4CEB" w14:textId="77777777" w:rsidR="00802901" w:rsidRPr="00F0341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Rate Ratio (95%CI)</w:t>
            </w:r>
          </w:p>
          <w:p w14:paraId="6A09B3CD" w14:textId="77777777" w:rsidR="00802901" w:rsidRPr="00F0341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i/>
                <w:sz w:val="16"/>
                <w:szCs w:val="16"/>
                <w:lang w:val="it-IT"/>
              </w:rPr>
            </w:pPr>
            <w:r w:rsidRPr="00F03413">
              <w:rPr>
                <w:rFonts w:cstheme="minorHAnsi"/>
                <w:b/>
                <w:sz w:val="16"/>
                <w:szCs w:val="16"/>
                <w:lang w:val="it-IT"/>
              </w:rPr>
              <w:t xml:space="preserve">1. </w:t>
            </w:r>
            <w:proofErr w:type="gramStart"/>
            <w:r w:rsidRPr="00F03413">
              <w:rPr>
                <w:rFonts w:cstheme="minorHAnsi"/>
                <w:b/>
                <w:sz w:val="16"/>
                <w:szCs w:val="16"/>
                <w:lang w:val="it-IT"/>
              </w:rPr>
              <w:t>1.93  (</w:t>
            </w:r>
            <w:proofErr w:type="gramEnd"/>
            <w:r w:rsidRPr="00F03413">
              <w:rPr>
                <w:rFonts w:cstheme="minorHAnsi"/>
                <w:b/>
                <w:sz w:val="16"/>
                <w:szCs w:val="16"/>
                <w:lang w:val="it-IT"/>
              </w:rPr>
              <w:t>1.55-2.40)</w:t>
            </w:r>
          </w:p>
          <w:p w14:paraId="1143B6FD" w14:textId="77777777" w:rsidR="00802901" w:rsidRPr="00F0341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it-IT"/>
              </w:rPr>
            </w:pPr>
            <w:r w:rsidRPr="00F03413">
              <w:rPr>
                <w:rFonts w:cstheme="minorHAnsi"/>
                <w:b/>
                <w:sz w:val="16"/>
                <w:szCs w:val="16"/>
                <w:lang w:val="it-IT"/>
              </w:rPr>
              <w:t>2. RR 2.33 (95% CI 1.75-3.1)</w:t>
            </w:r>
          </w:p>
          <w:p w14:paraId="4F19914A" w14:textId="6DCFB085" w:rsidR="00802901" w:rsidRPr="008714C3" w:rsidRDefault="00802901" w:rsidP="00802901">
            <w:pPr>
              <w:cnfStyle w:val="000000100000" w:firstRow="0" w:lastRow="0" w:firstColumn="0" w:lastColumn="0" w:oddVBand="0" w:evenVBand="0" w:oddHBand="1" w:evenHBand="0" w:firstRowFirstColumn="0" w:firstRowLastColumn="0" w:lastRowFirstColumn="0" w:lastRowLastColumn="0"/>
              <w:rPr>
                <w:rFonts w:cstheme="minorHAnsi"/>
                <w:b/>
                <w:color w:val="000000" w:themeColor="text1"/>
                <w:sz w:val="16"/>
                <w:szCs w:val="16"/>
                <w:lang w:val="en-GB"/>
              </w:rPr>
            </w:pPr>
            <w:r w:rsidRPr="008714C3">
              <w:rPr>
                <w:rFonts w:cstheme="minorHAnsi"/>
                <w:b/>
                <w:sz w:val="16"/>
                <w:szCs w:val="16"/>
                <w:lang w:val="en-GB"/>
              </w:rPr>
              <w:t>3. RR 1.42 (95% CI 0.99-2.40)</w:t>
            </w:r>
          </w:p>
        </w:tc>
        <w:tc>
          <w:tcPr>
            <w:tcW w:w="2218" w:type="dxa"/>
            <w:shd w:val="clear" w:color="auto" w:fill="D9D9D9" w:themeFill="background1" w:themeFillShade="D9"/>
          </w:tcPr>
          <w:p w14:paraId="22E7B0AE" w14:textId="0918C1EB" w:rsidR="00802901" w:rsidRPr="008714C3" w:rsidRDefault="00802901"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Limited health literacy is a risk factor for potentially preventable ED visits. </w:t>
            </w:r>
          </w:p>
        </w:tc>
      </w:tr>
      <w:tr w:rsidR="00CC1B21" w:rsidRPr="008714C3" w14:paraId="3B8CD79B" w14:textId="77777777" w:rsidTr="00CC1B21">
        <w:tc>
          <w:tcPr>
            <w:cnfStyle w:val="001000000000" w:firstRow="0" w:lastRow="0" w:firstColumn="1" w:lastColumn="0" w:oddVBand="0" w:evenVBand="0" w:oddHBand="0" w:evenHBand="0" w:firstRowFirstColumn="0" w:firstRowLastColumn="0" w:lastRowFirstColumn="0" w:lastRowLastColumn="0"/>
            <w:tcW w:w="14222" w:type="dxa"/>
            <w:gridSpan w:val="8"/>
            <w:shd w:val="clear" w:color="auto" w:fill="auto"/>
          </w:tcPr>
          <w:p w14:paraId="78B4BF10" w14:textId="0735CB6D" w:rsidR="00CC1B21" w:rsidRPr="008714C3" w:rsidRDefault="0088595F" w:rsidP="00CC1B21">
            <w:pPr>
              <w:tabs>
                <w:tab w:val="left" w:pos="5446"/>
              </w:tabs>
              <w:rPr>
                <w:rFonts w:cstheme="minorHAnsi"/>
                <w:sz w:val="16"/>
                <w:szCs w:val="16"/>
                <w:lang w:val="en-GB"/>
              </w:rPr>
            </w:pPr>
            <w:r w:rsidRPr="008714C3">
              <w:rPr>
                <w:rFonts w:cstheme="minorHAnsi"/>
                <w:sz w:val="16"/>
                <w:szCs w:val="16"/>
                <w:lang w:val="en-GB"/>
              </w:rPr>
              <w:t>FINANCIAL AND NON-</w:t>
            </w:r>
            <w:r w:rsidR="00CC1B21" w:rsidRPr="008714C3">
              <w:rPr>
                <w:rFonts w:cstheme="minorHAnsi"/>
                <w:sz w:val="16"/>
                <w:szCs w:val="16"/>
                <w:lang w:val="en-GB"/>
              </w:rPr>
              <w:t>FINANCIAL BARRIERS</w:t>
            </w:r>
          </w:p>
          <w:p w14:paraId="6A362DED" w14:textId="5D272CDB" w:rsidR="00CC1B21" w:rsidRPr="008714C3" w:rsidRDefault="00CC1B21" w:rsidP="00CC1B21">
            <w:pPr>
              <w:tabs>
                <w:tab w:val="left" w:pos="708"/>
                <w:tab w:val="left" w:pos="1416"/>
                <w:tab w:val="left" w:pos="2181"/>
              </w:tabs>
              <w:rPr>
                <w:rFonts w:cstheme="minorHAnsi"/>
                <w:b w:val="0"/>
                <w:bCs w:val="0"/>
                <w:sz w:val="16"/>
                <w:szCs w:val="16"/>
                <w:lang w:val="en-GB"/>
              </w:rPr>
            </w:pPr>
            <w:r w:rsidRPr="008714C3">
              <w:rPr>
                <w:rFonts w:cstheme="minorHAnsi"/>
                <w:sz w:val="16"/>
                <w:szCs w:val="16"/>
                <w:lang w:val="en-GB"/>
              </w:rPr>
              <w:tab/>
            </w:r>
            <w:r w:rsidRPr="008714C3">
              <w:rPr>
                <w:rFonts w:cstheme="minorHAnsi"/>
                <w:sz w:val="16"/>
                <w:szCs w:val="16"/>
                <w:lang w:val="en-GB"/>
              </w:rPr>
              <w:tab/>
            </w:r>
            <w:r w:rsidRPr="008714C3">
              <w:rPr>
                <w:rFonts w:cstheme="minorHAnsi"/>
                <w:sz w:val="16"/>
                <w:szCs w:val="16"/>
                <w:lang w:val="en-GB"/>
              </w:rPr>
              <w:tab/>
            </w:r>
          </w:p>
        </w:tc>
      </w:tr>
      <w:tr w:rsidR="008714C3" w:rsidRPr="00A7168F" w14:paraId="05F1FAAC" w14:textId="77777777" w:rsidTr="006566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shd w:val="clear" w:color="auto" w:fill="D9D9D9" w:themeFill="background1" w:themeFillShade="D9"/>
          </w:tcPr>
          <w:p w14:paraId="49F2084D" w14:textId="77777777" w:rsidR="00CC1B21" w:rsidRPr="00F03413" w:rsidRDefault="00CC1B21" w:rsidP="00CC1B21">
            <w:pPr>
              <w:rPr>
                <w:rFonts w:cstheme="minorHAnsi"/>
                <w:sz w:val="16"/>
                <w:szCs w:val="16"/>
              </w:rPr>
            </w:pPr>
            <w:proofErr w:type="spellStart"/>
            <w:r w:rsidRPr="00F03413">
              <w:rPr>
                <w:rFonts w:cstheme="minorHAnsi"/>
                <w:sz w:val="16"/>
                <w:szCs w:val="16"/>
              </w:rPr>
              <w:t>Shippee</w:t>
            </w:r>
            <w:proofErr w:type="spellEnd"/>
            <w:r w:rsidRPr="00F03413">
              <w:rPr>
                <w:rFonts w:cstheme="minorHAnsi"/>
                <w:sz w:val="16"/>
                <w:szCs w:val="16"/>
              </w:rPr>
              <w:t>, N. D., et al.</w:t>
            </w:r>
          </w:p>
          <w:p w14:paraId="65354C42" w14:textId="77777777" w:rsidR="00CC1B21" w:rsidRPr="008714C3" w:rsidRDefault="00CC1B21" w:rsidP="00CC1B21">
            <w:pPr>
              <w:rPr>
                <w:rFonts w:cstheme="minorHAnsi"/>
                <w:sz w:val="16"/>
                <w:szCs w:val="16"/>
                <w:lang w:val="en-GB"/>
              </w:rPr>
            </w:pPr>
            <w:r w:rsidRPr="008714C3">
              <w:rPr>
                <w:rFonts w:cstheme="minorHAnsi"/>
                <w:sz w:val="16"/>
                <w:szCs w:val="16"/>
                <w:lang w:val="en-GB"/>
              </w:rPr>
              <w:t>2014</w:t>
            </w:r>
          </w:p>
          <w:p w14:paraId="766B5C61" w14:textId="48BB7B75" w:rsidR="00CC1B21" w:rsidRPr="008714C3" w:rsidRDefault="00CC1B21" w:rsidP="00CC1B21">
            <w:pPr>
              <w:rPr>
                <w:rFonts w:cstheme="minorHAnsi"/>
                <w:sz w:val="16"/>
                <w:szCs w:val="16"/>
                <w:lang w:val="en-GB"/>
              </w:rPr>
            </w:pPr>
            <w:r w:rsidRPr="008714C3">
              <w:rPr>
                <w:rFonts w:cstheme="minorHAnsi"/>
                <w:sz w:val="16"/>
                <w:szCs w:val="16"/>
                <w:lang w:val="en-GB"/>
              </w:rPr>
              <w:t>United States</w:t>
            </w:r>
          </w:p>
        </w:tc>
        <w:tc>
          <w:tcPr>
            <w:tcW w:w="1485" w:type="dxa"/>
            <w:shd w:val="clear" w:color="auto" w:fill="D9D9D9" w:themeFill="background1" w:themeFillShade="D9"/>
          </w:tcPr>
          <w:p w14:paraId="0FC3E14A" w14:textId="5B7C1E87"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Cross-sectional study</w:t>
            </w:r>
          </w:p>
        </w:tc>
        <w:tc>
          <w:tcPr>
            <w:tcW w:w="1782" w:type="dxa"/>
            <w:shd w:val="clear" w:color="auto" w:fill="D9D9D9" w:themeFill="background1" w:themeFillShade="D9"/>
          </w:tcPr>
          <w:p w14:paraId="68A684A9" w14:textId="43AC17E1"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8714C3">
              <w:rPr>
                <w:color w:val="000000"/>
                <w:sz w:val="16"/>
                <w:szCs w:val="16"/>
                <w:lang w:val="en-GB"/>
              </w:rPr>
              <w:t>To examine the distinct associations financial and non-financial barriers to care have with patterns of ED use among a publicly insured population</w:t>
            </w:r>
          </w:p>
        </w:tc>
        <w:tc>
          <w:tcPr>
            <w:tcW w:w="1689" w:type="dxa"/>
            <w:shd w:val="clear" w:color="auto" w:fill="D9D9D9" w:themeFill="background1" w:themeFillShade="D9"/>
          </w:tcPr>
          <w:p w14:paraId="573C2AC0" w14:textId="3C1CEFBA"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Publicly insured patients (n=1,737)</w:t>
            </w:r>
          </w:p>
        </w:tc>
        <w:tc>
          <w:tcPr>
            <w:tcW w:w="1692" w:type="dxa"/>
            <w:shd w:val="clear" w:color="auto" w:fill="D9D9D9" w:themeFill="background1" w:themeFillShade="D9"/>
          </w:tcPr>
          <w:p w14:paraId="3D257602" w14:textId="77777777"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b/>
                <w:sz w:val="16"/>
                <w:szCs w:val="16"/>
                <w:u w:val="single"/>
                <w:lang w:val="en-GB"/>
              </w:rPr>
              <w:t xml:space="preserve">ED </w:t>
            </w:r>
            <w:proofErr w:type="gramStart"/>
            <w:r w:rsidRPr="008714C3">
              <w:rPr>
                <w:rFonts w:cstheme="minorHAnsi"/>
                <w:b/>
                <w:sz w:val="16"/>
                <w:szCs w:val="16"/>
                <w:u w:val="single"/>
                <w:lang w:val="en-GB"/>
              </w:rPr>
              <w:t>visits</w:t>
            </w:r>
            <w:r w:rsidRPr="008714C3">
              <w:rPr>
                <w:rFonts w:cstheme="minorHAnsi"/>
                <w:b/>
                <w:sz w:val="16"/>
                <w:szCs w:val="16"/>
                <w:lang w:val="en-GB"/>
              </w:rPr>
              <w:t xml:space="preserve">  </w:t>
            </w:r>
            <w:r w:rsidRPr="008714C3">
              <w:rPr>
                <w:rFonts w:cstheme="minorHAnsi"/>
                <w:sz w:val="16"/>
                <w:szCs w:val="16"/>
                <w:lang w:val="en-GB"/>
              </w:rPr>
              <w:t>(</w:t>
            </w:r>
            <w:proofErr w:type="gramEnd"/>
            <w:r w:rsidRPr="008714C3">
              <w:rPr>
                <w:rFonts w:cstheme="minorHAnsi"/>
                <w:sz w:val="16"/>
                <w:szCs w:val="16"/>
                <w:lang w:val="en-GB"/>
              </w:rPr>
              <w:t>0, 1 or 2+ ED visits in 1 year)</w:t>
            </w:r>
          </w:p>
          <w:p w14:paraId="3A40DC0C" w14:textId="77777777"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p>
        </w:tc>
        <w:tc>
          <w:tcPr>
            <w:tcW w:w="1934" w:type="dxa"/>
            <w:shd w:val="clear" w:color="auto" w:fill="D9D9D9" w:themeFill="background1" w:themeFillShade="D9"/>
          </w:tcPr>
          <w:p w14:paraId="7CA85E8A" w14:textId="77777777"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lang w:val="en-GB"/>
              </w:rPr>
            </w:pPr>
            <w:r w:rsidRPr="008714C3">
              <w:rPr>
                <w:rFonts w:cstheme="minorHAnsi"/>
                <w:b/>
                <w:sz w:val="16"/>
                <w:szCs w:val="16"/>
                <w:lang w:val="en-GB"/>
              </w:rPr>
              <w:t xml:space="preserve">a. </w:t>
            </w:r>
            <w:r w:rsidRPr="008714C3">
              <w:rPr>
                <w:rFonts w:cstheme="minorHAnsi"/>
                <w:b/>
                <w:sz w:val="16"/>
                <w:szCs w:val="16"/>
                <w:u w:val="single"/>
                <w:lang w:val="en-GB"/>
              </w:rPr>
              <w:t>Financial concerns</w:t>
            </w:r>
            <w:r w:rsidRPr="008714C3">
              <w:rPr>
                <w:rStyle w:val="Appelnotedebasdep"/>
                <w:rFonts w:cstheme="minorHAnsi"/>
                <w:b/>
                <w:sz w:val="16"/>
                <w:szCs w:val="16"/>
                <w:lang w:val="en-GB"/>
              </w:rPr>
              <w:footnoteReference w:id="21"/>
            </w:r>
          </w:p>
          <w:p w14:paraId="65467918" w14:textId="623FDF1F" w:rsidR="00CC1B21" w:rsidRPr="008714C3"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u w:val="single"/>
                <w:lang w:val="en-GB"/>
              </w:rPr>
            </w:pPr>
            <w:r w:rsidRPr="008714C3">
              <w:rPr>
                <w:rFonts w:cstheme="minorHAnsi"/>
                <w:b/>
                <w:sz w:val="16"/>
                <w:szCs w:val="16"/>
                <w:lang w:val="en-GB"/>
              </w:rPr>
              <w:t xml:space="preserve">b. </w:t>
            </w:r>
            <w:r w:rsidRPr="008714C3">
              <w:rPr>
                <w:rFonts w:cstheme="minorHAnsi"/>
                <w:b/>
                <w:sz w:val="16"/>
                <w:szCs w:val="16"/>
                <w:u w:val="single"/>
                <w:lang w:val="en-GB"/>
              </w:rPr>
              <w:t>Non-financial barriers</w:t>
            </w:r>
            <w:r w:rsidRPr="008714C3">
              <w:rPr>
                <w:rStyle w:val="Appelnotedebasdep"/>
                <w:rFonts w:cstheme="minorHAnsi"/>
                <w:b/>
                <w:sz w:val="16"/>
                <w:szCs w:val="16"/>
                <w:lang w:val="en-GB"/>
              </w:rPr>
              <w:footnoteReference w:id="22"/>
            </w:r>
            <w:r w:rsidRPr="008714C3">
              <w:rPr>
                <w:rFonts w:cstheme="minorHAnsi"/>
                <w:b/>
                <w:sz w:val="16"/>
                <w:szCs w:val="16"/>
                <w:lang w:val="en-GB"/>
              </w:rPr>
              <w:t xml:space="preserve"> </w:t>
            </w:r>
          </w:p>
        </w:tc>
        <w:tc>
          <w:tcPr>
            <w:tcW w:w="1955" w:type="dxa"/>
            <w:shd w:val="clear" w:color="auto" w:fill="D9D9D9" w:themeFill="background1" w:themeFillShade="D9"/>
          </w:tcPr>
          <w:p w14:paraId="7365185E" w14:textId="77777777" w:rsidR="00CC1B21" w:rsidRPr="00A7168F"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proofErr w:type="spellStart"/>
            <w:r w:rsidRPr="00A7168F">
              <w:rPr>
                <w:rFonts w:cstheme="minorHAnsi"/>
                <w:b/>
                <w:sz w:val="16"/>
                <w:szCs w:val="16"/>
              </w:rPr>
              <w:t>Odds</w:t>
            </w:r>
            <w:proofErr w:type="spellEnd"/>
            <w:r w:rsidRPr="00A7168F">
              <w:rPr>
                <w:rFonts w:cstheme="minorHAnsi"/>
                <w:b/>
                <w:sz w:val="16"/>
                <w:szCs w:val="16"/>
              </w:rPr>
              <w:t xml:space="preserve"> ratio (95% CI)</w:t>
            </w:r>
          </w:p>
          <w:p w14:paraId="0864B840" w14:textId="77777777" w:rsidR="00CC1B21" w:rsidRPr="00A7168F"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a. 0.939 (0.849-1.038)</w:t>
            </w:r>
          </w:p>
          <w:p w14:paraId="1AFD2A85" w14:textId="77777777" w:rsidR="00CC1B21" w:rsidRPr="00A7168F"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r w:rsidRPr="00A7168F">
              <w:rPr>
                <w:rFonts w:cstheme="minorHAnsi"/>
                <w:b/>
                <w:sz w:val="16"/>
                <w:szCs w:val="16"/>
              </w:rPr>
              <w:t>b. 1.210 (1.048-1.398)</w:t>
            </w:r>
          </w:p>
          <w:p w14:paraId="5BA08B86" w14:textId="77777777" w:rsidR="00CC1B21" w:rsidRPr="00A7168F" w:rsidRDefault="00CC1B21" w:rsidP="00CC1B21">
            <w:pPr>
              <w:cnfStyle w:val="000000100000" w:firstRow="0" w:lastRow="0" w:firstColumn="0" w:lastColumn="0" w:oddVBand="0" w:evenVBand="0" w:oddHBand="1" w:evenHBand="0" w:firstRowFirstColumn="0" w:firstRowLastColumn="0" w:lastRowFirstColumn="0" w:lastRowLastColumn="0"/>
              <w:rPr>
                <w:rFonts w:cstheme="minorHAnsi"/>
                <w:b/>
                <w:sz w:val="16"/>
                <w:szCs w:val="16"/>
              </w:rPr>
            </w:pPr>
          </w:p>
        </w:tc>
        <w:tc>
          <w:tcPr>
            <w:tcW w:w="2218" w:type="dxa"/>
            <w:shd w:val="clear" w:color="auto" w:fill="D9D9D9" w:themeFill="background1" w:themeFillShade="D9"/>
          </w:tcPr>
          <w:p w14:paraId="39156C8C" w14:textId="3842F6DA" w:rsidR="00CC1B21" w:rsidRPr="008714C3" w:rsidRDefault="00CC1B21" w:rsidP="00F72100">
            <w:pPr>
              <w:cnfStyle w:val="000000100000" w:firstRow="0" w:lastRow="0" w:firstColumn="0" w:lastColumn="0" w:oddVBand="0" w:evenVBand="0" w:oddHBand="1" w:evenHBand="0" w:firstRowFirstColumn="0" w:firstRowLastColumn="0" w:lastRowFirstColumn="0" w:lastRowLastColumn="0"/>
              <w:rPr>
                <w:rFonts w:cstheme="minorHAnsi"/>
                <w:sz w:val="16"/>
                <w:szCs w:val="16"/>
                <w:lang w:val="en-GB"/>
              </w:rPr>
            </w:pPr>
            <w:r w:rsidRPr="008714C3">
              <w:rPr>
                <w:rFonts w:cstheme="minorHAnsi"/>
                <w:sz w:val="16"/>
                <w:szCs w:val="16"/>
                <w:lang w:val="en-GB"/>
              </w:rPr>
              <w:t xml:space="preserve">Non-financial barriers are associated with actual ED visits. </w:t>
            </w:r>
          </w:p>
        </w:tc>
      </w:tr>
    </w:tbl>
    <w:p w14:paraId="5B932285" w14:textId="0C7B674B" w:rsidR="004E09E4" w:rsidRPr="008714C3" w:rsidRDefault="004E09E4">
      <w:pPr>
        <w:rPr>
          <w:lang w:val="en-GB"/>
        </w:rPr>
      </w:pPr>
    </w:p>
    <w:sectPr w:rsidR="004E09E4" w:rsidRPr="008714C3" w:rsidSect="00D0365C">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5C057" w14:textId="77777777" w:rsidR="00BE2C27" w:rsidRDefault="00BE2C27" w:rsidP="00D0365C">
      <w:r>
        <w:separator/>
      </w:r>
    </w:p>
  </w:endnote>
  <w:endnote w:type="continuationSeparator" w:id="0">
    <w:p w14:paraId="3F9C4CC2" w14:textId="77777777" w:rsidR="00BE2C27" w:rsidRDefault="00BE2C27" w:rsidP="00D0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9357B" w14:textId="77777777" w:rsidR="00BE2C27" w:rsidRDefault="00BE2C27" w:rsidP="00D0365C">
      <w:r>
        <w:separator/>
      </w:r>
    </w:p>
  </w:footnote>
  <w:footnote w:type="continuationSeparator" w:id="0">
    <w:p w14:paraId="0DCBB9BA" w14:textId="77777777" w:rsidR="00BE2C27" w:rsidRDefault="00BE2C27" w:rsidP="00D0365C">
      <w:r>
        <w:continuationSeparator/>
      </w:r>
    </w:p>
  </w:footnote>
  <w:footnote w:id="1">
    <w:p w14:paraId="6160DC40" w14:textId="20589CAA" w:rsidR="004A7A06" w:rsidRPr="00D6690D" w:rsidRDefault="004A7A06">
      <w:pPr>
        <w:pStyle w:val="Notedebasdepage"/>
        <w:rPr>
          <w:lang w:val="en-GB"/>
        </w:rPr>
      </w:pPr>
      <w:r>
        <w:rPr>
          <w:rStyle w:val="Appelnotedebasdep"/>
        </w:rPr>
        <w:footnoteRef/>
      </w:r>
      <w:r w:rsidRPr="00D6690D">
        <w:rPr>
          <w:lang w:val="en-GB"/>
        </w:rPr>
        <w:t xml:space="preserve"> Do not resuscitate</w:t>
      </w:r>
    </w:p>
  </w:footnote>
  <w:footnote w:id="2">
    <w:p w14:paraId="348FC01F" w14:textId="77777777" w:rsidR="004A7A06" w:rsidRPr="001D4A54" w:rsidRDefault="004A7A06" w:rsidP="00D0365C">
      <w:pPr>
        <w:pStyle w:val="Notedebasdepage"/>
        <w:rPr>
          <w:lang w:val="en-GB"/>
        </w:rPr>
      </w:pPr>
      <w:r>
        <w:rPr>
          <w:rStyle w:val="Appelnotedebasdep"/>
        </w:rPr>
        <w:footnoteRef/>
      </w:r>
      <w:r w:rsidRPr="001D4A54">
        <w:rPr>
          <w:lang w:val="en-GB"/>
        </w:rPr>
        <w:t xml:space="preserve"> </w:t>
      </w:r>
      <w:r>
        <w:rPr>
          <w:lang w:val="en-GB"/>
        </w:rPr>
        <w:t xml:space="preserve">Percutaneous coronary </w:t>
      </w:r>
      <w:proofErr w:type="spellStart"/>
      <w:r>
        <w:rPr>
          <w:lang w:val="en-GB"/>
        </w:rPr>
        <w:t>center</w:t>
      </w:r>
      <w:proofErr w:type="spellEnd"/>
      <w:r>
        <w:rPr>
          <w:lang w:val="en-GB"/>
        </w:rPr>
        <w:t>.</w:t>
      </w:r>
    </w:p>
  </w:footnote>
  <w:footnote w:id="3">
    <w:p w14:paraId="09CA421A" w14:textId="77777777" w:rsidR="004A7A06" w:rsidRPr="001D4A54" w:rsidRDefault="004A7A06" w:rsidP="00D0365C">
      <w:pPr>
        <w:pStyle w:val="Notedebasdepage"/>
        <w:rPr>
          <w:lang w:val="en-GB"/>
        </w:rPr>
      </w:pPr>
      <w:r w:rsidRPr="001D4A54">
        <w:rPr>
          <w:rStyle w:val="Appelnotedebasdep"/>
          <w:lang w:val="en-GB"/>
        </w:rPr>
        <w:footnoteRef/>
      </w:r>
      <w:r w:rsidRPr="001D4A54">
        <w:rPr>
          <w:lang w:val="en-GB"/>
        </w:rPr>
        <w:t xml:space="preserve"> ST segment elevation myocardia</w:t>
      </w:r>
      <w:r>
        <w:rPr>
          <w:lang w:val="en-GB"/>
        </w:rPr>
        <w:t>l</w:t>
      </w:r>
      <w:r w:rsidRPr="001D4A54">
        <w:rPr>
          <w:lang w:val="en-GB"/>
        </w:rPr>
        <w:t xml:space="preserve"> infarction</w:t>
      </w:r>
      <w:r>
        <w:rPr>
          <w:lang w:val="en-GB"/>
        </w:rPr>
        <w:t>.</w:t>
      </w:r>
      <w:r w:rsidRPr="001D4A54">
        <w:rPr>
          <w:lang w:val="en-GB"/>
        </w:rPr>
        <w:t xml:space="preserve"> </w:t>
      </w:r>
    </w:p>
  </w:footnote>
  <w:footnote w:id="4">
    <w:p w14:paraId="6534502F" w14:textId="77777777" w:rsidR="004A7A06" w:rsidRPr="001D4A54" w:rsidRDefault="004A7A06" w:rsidP="00D0365C">
      <w:pPr>
        <w:pStyle w:val="Notedebasdepage"/>
        <w:rPr>
          <w:lang w:val="en-GB"/>
        </w:rPr>
      </w:pPr>
      <w:r>
        <w:rPr>
          <w:rStyle w:val="Appelnotedebasdep"/>
        </w:rPr>
        <w:footnoteRef/>
      </w:r>
      <w:r w:rsidRPr="001D4A54">
        <w:rPr>
          <w:lang w:val="en-GB"/>
        </w:rPr>
        <w:t xml:space="preserve"> </w:t>
      </w:r>
      <w:r>
        <w:rPr>
          <w:lang w:val="en-GB"/>
        </w:rPr>
        <w:t>MAEs: Major adverse events, identified from ICD-9-CM codes (cerebrovascular accident, pneumonia, pulmonary embolus, acute respiratory distress syndrome, renal failure, urinary tract infection, myocardial infarction sepsis, septic shock and cardiac arrest)</w:t>
      </w:r>
    </w:p>
  </w:footnote>
  <w:footnote w:id="5">
    <w:p w14:paraId="22F51522" w14:textId="77777777" w:rsidR="004A7A06" w:rsidRPr="0098362A" w:rsidRDefault="004A7A06" w:rsidP="00D0365C">
      <w:pPr>
        <w:pStyle w:val="Notedebasdepage"/>
        <w:rPr>
          <w:lang w:val="en-GB"/>
        </w:rPr>
      </w:pPr>
      <w:r>
        <w:rPr>
          <w:rStyle w:val="Appelnotedebasdep"/>
        </w:rPr>
        <w:footnoteRef/>
      </w:r>
      <w:r w:rsidRPr="001D4A54">
        <w:rPr>
          <w:lang w:val="en-GB"/>
        </w:rPr>
        <w:t xml:space="preserve"> </w:t>
      </w:r>
      <w:r>
        <w:rPr>
          <w:lang w:val="en-GB"/>
        </w:rPr>
        <w:t xml:space="preserve">FTR: the </w:t>
      </w:r>
      <w:r w:rsidRPr="0098362A">
        <w:rPr>
          <w:lang w:val="en-GB"/>
        </w:rPr>
        <w:t>odds of in-hospital mortality after an MAE</w:t>
      </w:r>
    </w:p>
  </w:footnote>
  <w:footnote w:id="6">
    <w:p w14:paraId="77E45E8E" w14:textId="77777777" w:rsidR="004A7A06" w:rsidRPr="0098362A" w:rsidRDefault="004A7A06" w:rsidP="00D0365C">
      <w:pPr>
        <w:pStyle w:val="Notedebasdepage"/>
        <w:rPr>
          <w:lang w:val="en-GB"/>
        </w:rPr>
      </w:pPr>
      <w:r w:rsidRPr="0098362A">
        <w:rPr>
          <w:rStyle w:val="Appelnotedebasdep"/>
        </w:rPr>
        <w:footnoteRef/>
      </w:r>
      <w:r w:rsidRPr="0098362A">
        <w:rPr>
          <w:lang w:val="en-GB"/>
        </w:rPr>
        <w:t xml:space="preserve"> CCG-</w:t>
      </w:r>
      <w:proofErr w:type="gramStart"/>
      <w:r w:rsidRPr="0098362A">
        <w:rPr>
          <w:lang w:val="en-GB"/>
        </w:rPr>
        <w:t>LSOA :</w:t>
      </w:r>
      <w:proofErr w:type="gramEnd"/>
      <w:r w:rsidRPr="0098362A">
        <w:rPr>
          <w:lang w:val="en-GB"/>
        </w:rPr>
        <w:t xml:space="preserve"> a block of CCG registered population residing within a neighbourhood census unit called LSOA (Lower Super Output area).</w:t>
      </w:r>
    </w:p>
  </w:footnote>
  <w:footnote w:id="7">
    <w:p w14:paraId="6E169372" w14:textId="41F87A55" w:rsidR="004A7A06" w:rsidRPr="0098362A" w:rsidRDefault="004A7A06" w:rsidP="00D0365C">
      <w:pPr>
        <w:pStyle w:val="Notedebasdepage"/>
        <w:rPr>
          <w:lang w:val="en-GB"/>
        </w:rPr>
      </w:pPr>
      <w:r w:rsidRPr="0098362A">
        <w:rPr>
          <w:rStyle w:val="Appelnotedebasdep"/>
        </w:rPr>
        <w:footnoteRef/>
      </w:r>
      <w:r w:rsidRPr="0098362A">
        <w:rPr>
          <w:lang w:val="en-GB"/>
        </w:rPr>
        <w:t xml:space="preserve"> Carstairs score: An index of deprivation used in spatial epidemiology, based on four variables (Male unemployment, Lack of car ownership, Overcrowding and Low social class).</w:t>
      </w:r>
    </w:p>
  </w:footnote>
  <w:footnote w:id="8">
    <w:p w14:paraId="7127F701" w14:textId="77777777" w:rsidR="004A7A06" w:rsidRPr="009E774A" w:rsidRDefault="004A7A06" w:rsidP="00D0365C">
      <w:pPr>
        <w:pStyle w:val="Notedebasdepage"/>
        <w:rPr>
          <w:rFonts w:asciiTheme="majorHAnsi" w:hAnsiTheme="majorHAnsi" w:cstheme="majorHAnsi"/>
          <w:lang w:val="en-US"/>
        </w:rPr>
      </w:pPr>
      <w:r w:rsidRPr="00F03413">
        <w:rPr>
          <w:rStyle w:val="Appelnotedebasdep"/>
          <w:rFonts w:cstheme="majorHAnsi"/>
        </w:rPr>
        <w:footnoteRef/>
      </w:r>
      <w:r w:rsidRPr="00F03413">
        <w:rPr>
          <w:rFonts w:cstheme="majorHAnsi"/>
          <w:lang w:val="en-US"/>
        </w:rPr>
        <w:t xml:space="preserve"> Quintile of socio-economic deprivation (Carstairs): a </w:t>
      </w:r>
      <w:proofErr w:type="gramStart"/>
      <w:r w:rsidRPr="00F03413">
        <w:rPr>
          <w:rFonts w:cstheme="majorHAnsi"/>
          <w:lang w:val="en-US"/>
        </w:rPr>
        <w:t>geographically-based</w:t>
      </w:r>
      <w:proofErr w:type="gramEnd"/>
      <w:r w:rsidRPr="00F03413">
        <w:rPr>
          <w:rFonts w:cstheme="majorHAnsi"/>
          <w:lang w:val="en-US"/>
        </w:rPr>
        <w:t xml:space="preserve"> deprivation score based on four census indicators (low social class, lack of car ownership, overcrowding and male unemployment).</w:t>
      </w:r>
    </w:p>
  </w:footnote>
  <w:footnote w:id="9">
    <w:p w14:paraId="78DED4B6" w14:textId="77777777" w:rsidR="004A7A06" w:rsidRPr="00F03413" w:rsidRDefault="004A7A06" w:rsidP="00D0365C">
      <w:pPr>
        <w:pStyle w:val="Notedebasdepage"/>
        <w:rPr>
          <w:rFonts w:cstheme="majorHAnsi"/>
          <w:lang w:val="en-US"/>
        </w:rPr>
      </w:pPr>
      <w:r w:rsidRPr="00F03413">
        <w:rPr>
          <w:rStyle w:val="Appelnotedebasdep"/>
          <w:rFonts w:cstheme="majorHAnsi"/>
        </w:rPr>
        <w:footnoteRef/>
      </w:r>
      <w:r w:rsidRPr="00F03413">
        <w:rPr>
          <w:rFonts w:cstheme="majorHAnsi"/>
          <w:lang w:val="en-US"/>
        </w:rPr>
        <w:t xml:space="preserve"> RCOP (Reshaping Care for Older People): </w:t>
      </w:r>
      <w:proofErr w:type="spellStart"/>
      <w:r w:rsidRPr="00F03413">
        <w:rPr>
          <w:rFonts w:cstheme="majorHAnsi"/>
          <w:lang w:val="en-US"/>
        </w:rPr>
        <w:t>programme</w:t>
      </w:r>
      <w:proofErr w:type="spellEnd"/>
      <w:r w:rsidRPr="00F03413">
        <w:rPr>
          <w:rFonts w:cstheme="majorHAnsi"/>
          <w:lang w:val="en-US"/>
        </w:rPr>
        <w:t xml:space="preserve"> developed to address the projected increase in health service and social care use by older people in Scotland.</w:t>
      </w:r>
    </w:p>
  </w:footnote>
  <w:footnote w:id="10">
    <w:p w14:paraId="0A0FBFEB" w14:textId="77777777" w:rsidR="004A7A06" w:rsidRPr="0098362A" w:rsidRDefault="004A7A06" w:rsidP="00D0365C">
      <w:pPr>
        <w:pStyle w:val="Notedebasdepage"/>
        <w:rPr>
          <w:lang w:val="en-US"/>
        </w:rPr>
      </w:pPr>
      <w:r w:rsidRPr="00F03413">
        <w:rPr>
          <w:rStyle w:val="Appelnotedebasdep"/>
          <w:rFonts w:cstheme="majorHAnsi"/>
        </w:rPr>
        <w:footnoteRef/>
      </w:r>
      <w:r w:rsidRPr="00F03413">
        <w:rPr>
          <w:rFonts w:cstheme="majorHAnsi"/>
          <w:lang w:val="en-US"/>
        </w:rPr>
        <w:t xml:space="preserve"> SIMD (Scottish Indicator of Multiple deprivation): the Scottish Government's official tool for identifying those places in Scotland suffering from multiple deprivation. By identifying concentrations of multiple deprivation, the SIMD can be used to target policies and resources at the places with greatest need.</w:t>
      </w:r>
    </w:p>
  </w:footnote>
  <w:footnote w:id="11">
    <w:p w14:paraId="55FF3677" w14:textId="2EDD2332" w:rsidR="004A7A06" w:rsidRPr="0098362A" w:rsidRDefault="004A7A06" w:rsidP="00D0365C">
      <w:pPr>
        <w:pStyle w:val="Notedebasdepage"/>
        <w:rPr>
          <w:lang w:val="en-GB"/>
        </w:rPr>
      </w:pPr>
      <w:r w:rsidRPr="0098362A">
        <w:rPr>
          <w:rStyle w:val="Appelnotedebasdep"/>
        </w:rPr>
        <w:footnoteRef/>
      </w:r>
      <w:r w:rsidRPr="0098362A">
        <w:rPr>
          <w:lang w:val="en-GB"/>
        </w:rPr>
        <w:t xml:space="preserve"> CT/10: a coefficient that refers to the effect of a 10% increase in the percentage of the population in the Census tract (CT) who have household incomes below 200% of the federal poverty threshold. (The poverty coefficient indicates the effect of a 10% increase in the fraction of the population living in poverty)</w:t>
      </w:r>
    </w:p>
  </w:footnote>
  <w:footnote w:id="12">
    <w:p w14:paraId="28B21B98" w14:textId="77777777" w:rsidR="004A7A06" w:rsidRPr="001D4A54" w:rsidRDefault="004A7A06" w:rsidP="00D0365C">
      <w:pPr>
        <w:pStyle w:val="Notedebasdepage"/>
        <w:rPr>
          <w:lang w:val="en-GB"/>
        </w:rPr>
      </w:pPr>
      <w:r w:rsidRPr="0098362A">
        <w:rPr>
          <w:rStyle w:val="Appelnotedebasdep"/>
        </w:rPr>
        <w:footnoteRef/>
      </w:r>
      <w:r w:rsidRPr="0098362A">
        <w:rPr>
          <w:lang w:val="en-GB"/>
        </w:rPr>
        <w:t xml:space="preserve"> ON-MARG: a validated census- and geography-based index that measures marginalization at the level of the census dissemination area, including economic, ethno-racial, age-based and social marginalization</w:t>
      </w:r>
    </w:p>
  </w:footnote>
  <w:footnote w:id="13">
    <w:p w14:paraId="4750ED78" w14:textId="77777777" w:rsidR="004A7A06" w:rsidRPr="0098362A" w:rsidRDefault="004A7A06" w:rsidP="00D0365C">
      <w:pPr>
        <w:pStyle w:val="Notedebasdepage"/>
        <w:rPr>
          <w:lang w:val="en-GB"/>
        </w:rPr>
      </w:pPr>
      <w:r w:rsidRPr="0098362A">
        <w:rPr>
          <w:rStyle w:val="Appelnotedebasdep"/>
        </w:rPr>
        <w:footnoteRef/>
      </w:r>
      <w:r w:rsidRPr="0098362A">
        <w:rPr>
          <w:lang w:val="en-GB"/>
        </w:rPr>
        <w:t xml:space="preserve"> A composite score originates from the following domain indices: income, employment, health, education, access to services, community safety and physical environment.</w:t>
      </w:r>
    </w:p>
  </w:footnote>
  <w:footnote w:id="14">
    <w:p w14:paraId="751E984E" w14:textId="77777777" w:rsidR="004A7A06" w:rsidRPr="0098362A" w:rsidRDefault="004A7A06" w:rsidP="00D0365C">
      <w:pPr>
        <w:pStyle w:val="Notedebasdepage"/>
        <w:rPr>
          <w:lang w:val="en-GB"/>
        </w:rPr>
      </w:pPr>
      <w:r w:rsidRPr="0098362A">
        <w:rPr>
          <w:rStyle w:val="Appelnotedebasdep"/>
        </w:rPr>
        <w:footnoteRef/>
      </w:r>
      <w:r w:rsidRPr="0098362A">
        <w:rPr>
          <w:lang w:val="en-GB"/>
        </w:rPr>
        <w:t xml:space="preserve"> </w:t>
      </w:r>
      <w:proofErr w:type="spellStart"/>
      <w:r w:rsidRPr="0098362A">
        <w:rPr>
          <w:lang w:val="en-GB"/>
        </w:rPr>
        <w:t>Institut</w:t>
      </w:r>
      <w:proofErr w:type="spellEnd"/>
      <w:r w:rsidRPr="0098362A">
        <w:rPr>
          <w:lang w:val="en-GB"/>
        </w:rPr>
        <w:t xml:space="preserve"> national de la </w:t>
      </w:r>
      <w:proofErr w:type="spellStart"/>
      <w:r w:rsidRPr="0098362A">
        <w:rPr>
          <w:lang w:val="en-GB"/>
        </w:rPr>
        <w:t>santé</w:t>
      </w:r>
      <w:proofErr w:type="spellEnd"/>
      <w:r w:rsidRPr="0098362A">
        <w:rPr>
          <w:lang w:val="en-GB"/>
        </w:rPr>
        <w:t xml:space="preserve"> </w:t>
      </w:r>
      <w:proofErr w:type="spellStart"/>
      <w:r w:rsidRPr="0098362A">
        <w:rPr>
          <w:lang w:val="en-GB"/>
        </w:rPr>
        <w:t>publique</w:t>
      </w:r>
      <w:proofErr w:type="spellEnd"/>
      <w:r w:rsidRPr="0098362A">
        <w:rPr>
          <w:lang w:val="en-GB"/>
        </w:rPr>
        <w:t xml:space="preserve"> du Québec (INSPQ) deprivation index: an index based on six socioeconomic indicators calculated at the dissemination area (DA) level. This index has two components, material and social. The material component is based on the proportion of people without a high school diploma, the employment-to-population ratio and the average income. The social component is based on the proportion of people living alone, the proportion of separated, divorced or widowed people and the proportion of lone-parent families</w:t>
      </w:r>
    </w:p>
  </w:footnote>
  <w:footnote w:id="15">
    <w:p w14:paraId="68B3B226" w14:textId="77777777" w:rsidR="004A7A06" w:rsidRPr="0098362A" w:rsidRDefault="004A7A06" w:rsidP="00D0365C">
      <w:pPr>
        <w:pStyle w:val="Notedebasdepage"/>
        <w:rPr>
          <w:lang w:val="en-GB"/>
        </w:rPr>
      </w:pPr>
      <w:r w:rsidRPr="0098362A">
        <w:rPr>
          <w:rStyle w:val="Appelnotedebasdep"/>
        </w:rPr>
        <w:footnoteRef/>
      </w:r>
      <w:r w:rsidRPr="0098362A">
        <w:rPr>
          <w:lang w:val="en-GB"/>
        </w:rPr>
        <w:t xml:space="preserve"> Ibidem</w:t>
      </w:r>
    </w:p>
  </w:footnote>
  <w:footnote w:id="16">
    <w:p w14:paraId="63829F35" w14:textId="77777777" w:rsidR="004A7A06" w:rsidRPr="00F03413" w:rsidRDefault="004A7A06" w:rsidP="00D0365C">
      <w:pPr>
        <w:pStyle w:val="Notedebasdepage"/>
        <w:rPr>
          <w:rFonts w:cstheme="majorHAnsi"/>
          <w:lang w:val="en-US"/>
        </w:rPr>
      </w:pPr>
      <w:r w:rsidRPr="00F03413">
        <w:rPr>
          <w:rStyle w:val="Appelnotedebasdep"/>
          <w:rFonts w:cstheme="majorHAnsi"/>
        </w:rPr>
        <w:footnoteRef/>
      </w:r>
      <w:r w:rsidRPr="00F03413">
        <w:rPr>
          <w:rFonts w:cstheme="majorHAnsi"/>
          <w:lang w:val="en-US"/>
        </w:rPr>
        <w:t xml:space="preserve"> 64.1% of all rehospitalizations are originated in the ED</w:t>
      </w:r>
    </w:p>
  </w:footnote>
  <w:footnote w:id="17">
    <w:p w14:paraId="5180453B" w14:textId="77777777" w:rsidR="004A7A06" w:rsidRPr="001D4A54" w:rsidRDefault="004A7A06" w:rsidP="00D0365C">
      <w:pPr>
        <w:pStyle w:val="Notedebasdepage"/>
        <w:rPr>
          <w:lang w:val="en-GB"/>
        </w:rPr>
      </w:pPr>
      <w:r w:rsidRPr="0098362A">
        <w:rPr>
          <w:rStyle w:val="Appelnotedebasdep"/>
        </w:rPr>
        <w:footnoteRef/>
      </w:r>
      <w:r w:rsidRPr="0098362A">
        <w:rPr>
          <w:lang w:val="en-GB"/>
        </w:rPr>
        <w:t xml:space="preserve"> Area-based SES quintile : an index of seven components based on American Community Survey (Education index, percent persons above 200% poverty line, percent persons with a blue collar job, percent persons employed, median rental, median value of owner-occupied housing unit and median household income)</w:t>
      </w:r>
    </w:p>
  </w:footnote>
  <w:footnote w:id="18">
    <w:p w14:paraId="546F08FC" w14:textId="77777777" w:rsidR="004A7A06" w:rsidRPr="001D4A54" w:rsidRDefault="004A7A06" w:rsidP="00D0365C">
      <w:pPr>
        <w:pStyle w:val="Notedebasdepage"/>
        <w:rPr>
          <w:lang w:val="en-GB"/>
        </w:rPr>
      </w:pPr>
      <w:r>
        <w:rPr>
          <w:rStyle w:val="Appelnotedebasdep"/>
        </w:rPr>
        <w:footnoteRef/>
      </w:r>
      <w:r w:rsidRPr="001D4A54">
        <w:rPr>
          <w:lang w:val="en-GB"/>
        </w:rPr>
        <w:t xml:space="preserve"> </w:t>
      </w:r>
      <w:r>
        <w:rPr>
          <w:lang w:val="en-GB"/>
        </w:rPr>
        <w:t>Patients who visited an ED with chest pain or cardiac conditions, were released from the ED, subsequently returned to a hospital within 0 to 7 days, and were admitted with a principal diagnosis of acute myocardial infarction (AMI)</w:t>
      </w:r>
    </w:p>
  </w:footnote>
  <w:footnote w:id="19">
    <w:p w14:paraId="754826E4" w14:textId="77777777" w:rsidR="004A7A06" w:rsidRPr="001D4A54" w:rsidRDefault="004A7A06" w:rsidP="00D0365C">
      <w:pPr>
        <w:pStyle w:val="Notedebasdepage"/>
        <w:rPr>
          <w:lang w:val="en-GB"/>
        </w:rPr>
      </w:pPr>
      <w:r>
        <w:rPr>
          <w:rStyle w:val="Appelnotedebasdep"/>
        </w:rPr>
        <w:footnoteRef/>
      </w:r>
      <w:r w:rsidRPr="001D4A54">
        <w:rPr>
          <w:lang w:val="en-GB"/>
        </w:rPr>
        <w:t xml:space="preserve"> </w:t>
      </w:r>
      <w:r>
        <w:rPr>
          <w:lang w:val="en-GB"/>
        </w:rPr>
        <w:t>Based on the classification of the American Association for the Surgery of Trauma (AAST), which encompass 621 unique ICD-9-CM</w:t>
      </w:r>
    </w:p>
  </w:footnote>
  <w:footnote w:id="20">
    <w:p w14:paraId="7ECBDD1B" w14:textId="77777777" w:rsidR="004A7A06" w:rsidRPr="001D4A54" w:rsidRDefault="004A7A06" w:rsidP="00D0365C">
      <w:pPr>
        <w:pStyle w:val="Notedebasdepage"/>
        <w:rPr>
          <w:lang w:val="en-GB"/>
        </w:rPr>
      </w:pPr>
      <w:r w:rsidRPr="001D4A54">
        <w:rPr>
          <w:rStyle w:val="Appelnotedebasdep"/>
          <w:lang w:val="en-GB"/>
        </w:rPr>
        <w:footnoteRef/>
      </w:r>
      <w:r>
        <w:rPr>
          <w:lang w:val="en-GB"/>
        </w:rPr>
        <w:t>A</w:t>
      </w:r>
      <w:r w:rsidRPr="001D4A54">
        <w:rPr>
          <w:lang w:val="en-GB"/>
        </w:rPr>
        <w:t xml:space="preserve"> reading recognition test comprised of 66 health-related words arranged in ascending order of difficulty</w:t>
      </w:r>
      <w:r>
        <w:rPr>
          <w:lang w:val="en-GB"/>
        </w:rPr>
        <w:t>.</w:t>
      </w:r>
    </w:p>
  </w:footnote>
  <w:footnote w:id="21">
    <w:p w14:paraId="475FA65E" w14:textId="77777777" w:rsidR="004A7A06" w:rsidRPr="001D4A54" w:rsidRDefault="004A7A06" w:rsidP="00D0365C">
      <w:pPr>
        <w:pStyle w:val="Notedebasdepage"/>
        <w:rPr>
          <w:lang w:val="en-GB"/>
        </w:rPr>
      </w:pPr>
      <w:r>
        <w:rPr>
          <w:rStyle w:val="Appelnotedebasdep"/>
        </w:rPr>
        <w:footnoteRef/>
      </w:r>
      <w:r w:rsidRPr="001D4A54">
        <w:rPr>
          <w:lang w:val="en-GB"/>
        </w:rPr>
        <w:t xml:space="preserve"> </w:t>
      </w:r>
      <w:r>
        <w:rPr>
          <w:lang w:val="en-GB"/>
        </w:rPr>
        <w:t>A set of seven self-reported financial concerns items: “insurance won’t cover care”, “the respondent will have to pay more than expected”, “he/she will have to pay more than he/she can afford”, “medications will cost too much”, “not being sure about being dropped from the public healthcare program”, “not knowing what the health plan covers and not knowing where to go with questions about coverage”.</w:t>
      </w:r>
    </w:p>
  </w:footnote>
  <w:footnote w:id="22">
    <w:p w14:paraId="3B7E3286" w14:textId="77777777" w:rsidR="004A7A06" w:rsidRPr="001D4A54" w:rsidRDefault="004A7A06" w:rsidP="00D0365C">
      <w:pPr>
        <w:pStyle w:val="Notedebasdepage"/>
        <w:rPr>
          <w:lang w:val="en-GB"/>
        </w:rPr>
      </w:pPr>
      <w:r>
        <w:rPr>
          <w:rStyle w:val="Appelnotedebasdep"/>
        </w:rPr>
        <w:footnoteRef/>
      </w:r>
      <w:r w:rsidRPr="001D4A54">
        <w:rPr>
          <w:lang w:val="en-GB"/>
        </w:rPr>
        <w:t xml:space="preserve"> </w:t>
      </w:r>
      <w:r>
        <w:rPr>
          <w:lang w:val="en-GB"/>
        </w:rPr>
        <w:t xml:space="preserve">Seven self-reported non-financial barriers including: transportation difficulties, problems making appointments, not knowing where go for care, work/family responsibilities, office/clinics not being open at suitable times, obtaining childcare and not being able to utilize one’s preferred provider.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128C"/>
    <w:multiLevelType w:val="hybridMultilevel"/>
    <w:tmpl w:val="4FE68034"/>
    <w:lvl w:ilvl="0" w:tplc="B11859E4">
      <w:start w:val="1"/>
      <w:numFmt w:val="upperRoman"/>
      <w:lvlText w:val="%1."/>
      <w:lvlJc w:val="right"/>
      <w:pPr>
        <w:ind w:left="720" w:hanging="360"/>
      </w:pPr>
      <w:rPr>
        <w:b/>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0CD5AE3"/>
    <w:multiLevelType w:val="hybridMultilevel"/>
    <w:tmpl w:val="A5C29C76"/>
    <w:lvl w:ilvl="0" w:tplc="7BA62F30">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A03CC"/>
    <w:multiLevelType w:val="hybridMultilevel"/>
    <w:tmpl w:val="93689CF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02F34B29"/>
    <w:multiLevelType w:val="hybridMultilevel"/>
    <w:tmpl w:val="8FD2DFB2"/>
    <w:lvl w:ilvl="0" w:tplc="B11859E4">
      <w:start w:val="1"/>
      <w:numFmt w:val="upperRoman"/>
      <w:lvlText w:val="%1."/>
      <w:lvlJc w:val="right"/>
      <w:pPr>
        <w:ind w:left="927" w:hanging="360"/>
      </w:pPr>
      <w:rPr>
        <w:b/>
      </w:rPr>
    </w:lvl>
    <w:lvl w:ilvl="1" w:tplc="100C0019">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4" w15:restartNumberingAfterBreak="0">
    <w:nsid w:val="030F168D"/>
    <w:multiLevelType w:val="hybridMultilevel"/>
    <w:tmpl w:val="B892339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05D164D2"/>
    <w:multiLevelType w:val="hybridMultilevel"/>
    <w:tmpl w:val="E410D806"/>
    <w:lvl w:ilvl="0" w:tplc="100C0015">
      <w:start w:val="1"/>
      <w:numFmt w:val="upp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080134DB"/>
    <w:multiLevelType w:val="hybridMultilevel"/>
    <w:tmpl w:val="D58AA4C8"/>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09633A7C"/>
    <w:multiLevelType w:val="hybridMultilevel"/>
    <w:tmpl w:val="DC58DF50"/>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107A5AD1"/>
    <w:multiLevelType w:val="hybridMultilevel"/>
    <w:tmpl w:val="BD04BDE2"/>
    <w:lvl w:ilvl="0" w:tplc="100C0015">
      <w:start w:val="1"/>
      <w:numFmt w:val="upperLetter"/>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10C8054B"/>
    <w:multiLevelType w:val="hybridMultilevel"/>
    <w:tmpl w:val="498AB4F2"/>
    <w:lvl w:ilvl="0" w:tplc="438CA82C">
      <w:numFmt w:val="bullet"/>
      <w:lvlText w:val=""/>
      <w:lvlJc w:val="left"/>
      <w:pPr>
        <w:ind w:left="720" w:hanging="360"/>
      </w:pPr>
      <w:rPr>
        <w:rFonts w:ascii="Symbol" w:eastAsiaTheme="minorHAnsi" w:hAnsi="Symbol"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19F51419"/>
    <w:multiLevelType w:val="hybridMultilevel"/>
    <w:tmpl w:val="8D42C360"/>
    <w:lvl w:ilvl="0" w:tplc="100C0001">
      <w:start w:val="1"/>
      <w:numFmt w:val="bullet"/>
      <w:lvlText w:val=""/>
      <w:lvlJc w:val="left"/>
      <w:pPr>
        <w:ind w:left="1068" w:hanging="360"/>
      </w:pPr>
      <w:rPr>
        <w:rFonts w:ascii="Symbol" w:hAnsi="Symbol" w:hint="default"/>
      </w:rPr>
    </w:lvl>
    <w:lvl w:ilvl="1" w:tplc="100C0003" w:tentative="1">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11" w15:restartNumberingAfterBreak="0">
    <w:nsid w:val="1CEE7FE9"/>
    <w:multiLevelType w:val="hybridMultilevel"/>
    <w:tmpl w:val="92B8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265C06"/>
    <w:multiLevelType w:val="hybridMultilevel"/>
    <w:tmpl w:val="200026F6"/>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2E2343BD"/>
    <w:multiLevelType w:val="hybridMultilevel"/>
    <w:tmpl w:val="4C70BA6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30295CDC"/>
    <w:multiLevelType w:val="hybridMultilevel"/>
    <w:tmpl w:val="D59EC1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4AA13AF"/>
    <w:multiLevelType w:val="multilevel"/>
    <w:tmpl w:val="CA8CDC5A"/>
    <w:lvl w:ilvl="0">
      <w:start w:val="1"/>
      <w:numFmt w:val="decimal"/>
      <w:lvlText w:val="%1."/>
      <w:lvlJc w:val="left"/>
      <w:pPr>
        <w:ind w:left="720" w:hanging="360"/>
      </w:pPr>
    </w:lvl>
    <w:lvl w:ilvl="1">
      <w:start w:val="1"/>
      <w:numFmt w:val="upp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2D7CBA"/>
    <w:multiLevelType w:val="hybridMultilevel"/>
    <w:tmpl w:val="8DCA0E66"/>
    <w:lvl w:ilvl="0" w:tplc="EDEE7D8A">
      <w:start w:val="5"/>
      <w:numFmt w:val="bullet"/>
      <w:lvlText w:val="-"/>
      <w:lvlJc w:val="left"/>
      <w:pPr>
        <w:ind w:left="720" w:hanging="360"/>
      </w:pPr>
      <w:rPr>
        <w:rFonts w:ascii="Calibri" w:eastAsiaTheme="minorEastAsia" w:hAnsi="Calibri"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B603A"/>
    <w:multiLevelType w:val="hybridMultilevel"/>
    <w:tmpl w:val="BBA89530"/>
    <w:lvl w:ilvl="0" w:tplc="1B26CDF4">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48453AA5"/>
    <w:multiLevelType w:val="hybridMultilevel"/>
    <w:tmpl w:val="4C70BA6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4A6B1D3D"/>
    <w:multiLevelType w:val="hybridMultilevel"/>
    <w:tmpl w:val="AAD096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4BD035E4"/>
    <w:multiLevelType w:val="hybridMultilevel"/>
    <w:tmpl w:val="22B24F26"/>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1B14236"/>
    <w:multiLevelType w:val="hybridMultilevel"/>
    <w:tmpl w:val="A0708964"/>
    <w:lvl w:ilvl="0" w:tplc="5FC4763E">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650CA9"/>
    <w:multiLevelType w:val="hybridMultilevel"/>
    <w:tmpl w:val="37A4D6F0"/>
    <w:lvl w:ilvl="0" w:tplc="3DCE75FA">
      <w:start w:val="1"/>
      <w:numFmt w:val="decimal"/>
      <w:lvlText w:val="%1."/>
      <w:lvlJc w:val="left"/>
      <w:pPr>
        <w:ind w:left="1068" w:hanging="360"/>
      </w:pPr>
      <w:rPr>
        <w:rFonts w:hint="default"/>
        <w:b/>
        <w:i/>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23" w15:restartNumberingAfterBreak="0">
    <w:nsid w:val="5D15490C"/>
    <w:multiLevelType w:val="hybridMultilevel"/>
    <w:tmpl w:val="310016C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5DF015EE"/>
    <w:multiLevelType w:val="hybridMultilevel"/>
    <w:tmpl w:val="EA9A9834"/>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5FDC38C4"/>
    <w:multiLevelType w:val="hybridMultilevel"/>
    <w:tmpl w:val="1116E04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15:restartNumberingAfterBreak="0">
    <w:nsid w:val="627D2ACA"/>
    <w:multiLevelType w:val="hybridMultilevel"/>
    <w:tmpl w:val="BBA4104E"/>
    <w:lvl w:ilvl="0" w:tplc="C7F813B0">
      <w:start w:val="1"/>
      <w:numFmt w:val="decimal"/>
      <w:lvlText w:val="(%1)"/>
      <w:lvlJc w:val="left"/>
      <w:pPr>
        <w:ind w:left="3396"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FD09E3"/>
    <w:multiLevelType w:val="hybridMultilevel"/>
    <w:tmpl w:val="1436B6CC"/>
    <w:lvl w:ilvl="0" w:tplc="100C0015">
      <w:start w:val="1"/>
      <w:numFmt w:val="upp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15:restartNumberingAfterBreak="0">
    <w:nsid w:val="6D650359"/>
    <w:multiLevelType w:val="hybridMultilevel"/>
    <w:tmpl w:val="4AC6F73E"/>
    <w:lvl w:ilvl="0" w:tplc="100C000F">
      <w:start w:val="1"/>
      <w:numFmt w:val="decimal"/>
      <w:lvlText w:val="%1."/>
      <w:lvlJc w:val="left"/>
      <w:pPr>
        <w:ind w:left="360" w:hanging="360"/>
      </w:p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9" w15:restartNumberingAfterBreak="0">
    <w:nsid w:val="6E063DB2"/>
    <w:multiLevelType w:val="hybridMultilevel"/>
    <w:tmpl w:val="8D3EF06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FB77F4C"/>
    <w:multiLevelType w:val="hybridMultilevel"/>
    <w:tmpl w:val="A950D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F01AE9"/>
    <w:multiLevelType w:val="hybridMultilevel"/>
    <w:tmpl w:val="03366D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6DA6E33"/>
    <w:multiLevelType w:val="hybridMultilevel"/>
    <w:tmpl w:val="EF88F92E"/>
    <w:lvl w:ilvl="0" w:tplc="100C0001">
      <w:start w:val="1"/>
      <w:numFmt w:val="bullet"/>
      <w:lvlText w:val=""/>
      <w:lvlJc w:val="left"/>
      <w:pPr>
        <w:ind w:left="1068" w:hanging="360"/>
      </w:pPr>
      <w:rPr>
        <w:rFonts w:ascii="Symbol" w:hAnsi="Symbol" w:hint="default"/>
      </w:rPr>
    </w:lvl>
    <w:lvl w:ilvl="1" w:tplc="100C0003" w:tentative="1">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33" w15:restartNumberingAfterBreak="0">
    <w:nsid w:val="77E44B03"/>
    <w:multiLevelType w:val="hybridMultilevel"/>
    <w:tmpl w:val="0FEADFE6"/>
    <w:lvl w:ilvl="0" w:tplc="B11859E4">
      <w:start w:val="1"/>
      <w:numFmt w:val="upperRoman"/>
      <w:lvlText w:val="%1."/>
      <w:lvlJc w:val="right"/>
      <w:pPr>
        <w:ind w:left="720" w:hanging="360"/>
      </w:pPr>
      <w:rPr>
        <w:b/>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797555B9"/>
    <w:multiLevelType w:val="hybridMultilevel"/>
    <w:tmpl w:val="BC4A0560"/>
    <w:lvl w:ilvl="0" w:tplc="100C0001">
      <w:start w:val="1"/>
      <w:numFmt w:val="bullet"/>
      <w:lvlText w:val=""/>
      <w:lvlJc w:val="left"/>
      <w:pPr>
        <w:ind w:left="1068" w:hanging="360"/>
      </w:pPr>
      <w:rPr>
        <w:rFonts w:ascii="Symbol" w:hAnsi="Symbol" w:hint="default"/>
      </w:rPr>
    </w:lvl>
    <w:lvl w:ilvl="1" w:tplc="100C0003">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35" w15:restartNumberingAfterBreak="0">
    <w:nsid w:val="7E0961AF"/>
    <w:multiLevelType w:val="hybridMultilevel"/>
    <w:tmpl w:val="95927FFE"/>
    <w:lvl w:ilvl="0" w:tplc="100C000F">
      <w:start w:val="1"/>
      <w:numFmt w:val="decimal"/>
      <w:lvlText w:val="%1."/>
      <w:lvlJc w:val="left"/>
      <w:pPr>
        <w:ind w:left="1068" w:hanging="360"/>
      </w:p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36" w15:restartNumberingAfterBreak="0">
    <w:nsid w:val="7F66387A"/>
    <w:multiLevelType w:val="hybridMultilevel"/>
    <w:tmpl w:val="BE42651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29"/>
  </w:num>
  <w:num w:numId="3">
    <w:abstractNumId w:val="14"/>
  </w:num>
  <w:num w:numId="4">
    <w:abstractNumId w:val="9"/>
  </w:num>
  <w:num w:numId="5">
    <w:abstractNumId w:val="3"/>
  </w:num>
  <w:num w:numId="6">
    <w:abstractNumId w:val="0"/>
  </w:num>
  <w:num w:numId="7">
    <w:abstractNumId w:val="25"/>
  </w:num>
  <w:num w:numId="8">
    <w:abstractNumId w:val="15"/>
  </w:num>
  <w:num w:numId="9">
    <w:abstractNumId w:val="22"/>
  </w:num>
  <w:num w:numId="10">
    <w:abstractNumId w:val="20"/>
  </w:num>
  <w:num w:numId="11">
    <w:abstractNumId w:val="10"/>
  </w:num>
  <w:num w:numId="12">
    <w:abstractNumId w:val="13"/>
  </w:num>
  <w:num w:numId="13">
    <w:abstractNumId w:val="34"/>
  </w:num>
  <w:num w:numId="14">
    <w:abstractNumId w:val="32"/>
  </w:num>
  <w:num w:numId="15">
    <w:abstractNumId w:val="4"/>
  </w:num>
  <w:num w:numId="16">
    <w:abstractNumId w:val="19"/>
  </w:num>
  <w:num w:numId="17">
    <w:abstractNumId w:val="23"/>
  </w:num>
  <w:num w:numId="18">
    <w:abstractNumId w:val="6"/>
  </w:num>
  <w:num w:numId="19">
    <w:abstractNumId w:val="12"/>
  </w:num>
  <w:num w:numId="20">
    <w:abstractNumId w:val="28"/>
  </w:num>
  <w:num w:numId="21">
    <w:abstractNumId w:val="2"/>
  </w:num>
  <w:num w:numId="22">
    <w:abstractNumId w:val="35"/>
  </w:num>
  <w:num w:numId="23">
    <w:abstractNumId w:val="17"/>
  </w:num>
  <w:num w:numId="24">
    <w:abstractNumId w:val="18"/>
  </w:num>
  <w:num w:numId="25">
    <w:abstractNumId w:val="16"/>
  </w:num>
  <w:num w:numId="26">
    <w:abstractNumId w:val="30"/>
  </w:num>
  <w:num w:numId="27">
    <w:abstractNumId w:val="11"/>
  </w:num>
  <w:num w:numId="28">
    <w:abstractNumId w:val="21"/>
  </w:num>
  <w:num w:numId="29">
    <w:abstractNumId w:val="31"/>
  </w:num>
  <w:num w:numId="30">
    <w:abstractNumId w:val="26"/>
  </w:num>
  <w:num w:numId="31">
    <w:abstractNumId w:val="1"/>
  </w:num>
  <w:num w:numId="32">
    <w:abstractNumId w:val="24"/>
  </w:num>
  <w:num w:numId="33">
    <w:abstractNumId w:val="8"/>
  </w:num>
  <w:num w:numId="34">
    <w:abstractNumId w:val="5"/>
  </w:num>
  <w:num w:numId="35">
    <w:abstractNumId w:val="27"/>
  </w:num>
  <w:num w:numId="36">
    <w:abstractNumId w:val="33"/>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65C"/>
    <w:rsid w:val="00034F86"/>
    <w:rsid w:val="00050ECA"/>
    <w:rsid w:val="00051FCD"/>
    <w:rsid w:val="00062951"/>
    <w:rsid w:val="0007149D"/>
    <w:rsid w:val="0007432F"/>
    <w:rsid w:val="0008023D"/>
    <w:rsid w:val="00091B2B"/>
    <w:rsid w:val="000A161F"/>
    <w:rsid w:val="000A66CB"/>
    <w:rsid w:val="000B53AE"/>
    <w:rsid w:val="000C37F3"/>
    <w:rsid w:val="000C4D3E"/>
    <w:rsid w:val="000D5541"/>
    <w:rsid w:val="000E0F96"/>
    <w:rsid w:val="0012306E"/>
    <w:rsid w:val="00134BBE"/>
    <w:rsid w:val="00142D5D"/>
    <w:rsid w:val="0015101C"/>
    <w:rsid w:val="0015726C"/>
    <w:rsid w:val="00186B6B"/>
    <w:rsid w:val="00187D65"/>
    <w:rsid w:val="00194C26"/>
    <w:rsid w:val="001C1269"/>
    <w:rsid w:val="001E25E2"/>
    <w:rsid w:val="00205B24"/>
    <w:rsid w:val="00211F83"/>
    <w:rsid w:val="00226528"/>
    <w:rsid w:val="00263E3B"/>
    <w:rsid w:val="002647C3"/>
    <w:rsid w:val="00267967"/>
    <w:rsid w:val="00273A83"/>
    <w:rsid w:val="002749B6"/>
    <w:rsid w:val="002776B5"/>
    <w:rsid w:val="0028627F"/>
    <w:rsid w:val="002A025C"/>
    <w:rsid w:val="002A3EE1"/>
    <w:rsid w:val="002D56B2"/>
    <w:rsid w:val="003202A4"/>
    <w:rsid w:val="00326E3F"/>
    <w:rsid w:val="00387537"/>
    <w:rsid w:val="00397DA1"/>
    <w:rsid w:val="003A2F73"/>
    <w:rsid w:val="003B385F"/>
    <w:rsid w:val="003B4C1B"/>
    <w:rsid w:val="003D5E2B"/>
    <w:rsid w:val="003F649D"/>
    <w:rsid w:val="00430BAE"/>
    <w:rsid w:val="00431AB6"/>
    <w:rsid w:val="00432CBF"/>
    <w:rsid w:val="00462B22"/>
    <w:rsid w:val="004A7A06"/>
    <w:rsid w:val="004B09DE"/>
    <w:rsid w:val="004C5B9B"/>
    <w:rsid w:val="004D738B"/>
    <w:rsid w:val="004E09E4"/>
    <w:rsid w:val="004E517C"/>
    <w:rsid w:val="005004EF"/>
    <w:rsid w:val="0052072D"/>
    <w:rsid w:val="005316D1"/>
    <w:rsid w:val="005338BE"/>
    <w:rsid w:val="00547905"/>
    <w:rsid w:val="00573FD0"/>
    <w:rsid w:val="00574982"/>
    <w:rsid w:val="00583EF3"/>
    <w:rsid w:val="005842A5"/>
    <w:rsid w:val="005B051D"/>
    <w:rsid w:val="005C739D"/>
    <w:rsid w:val="005D3E8E"/>
    <w:rsid w:val="005D5758"/>
    <w:rsid w:val="005E0C90"/>
    <w:rsid w:val="006111CC"/>
    <w:rsid w:val="00614D6C"/>
    <w:rsid w:val="006234C0"/>
    <w:rsid w:val="00633E9C"/>
    <w:rsid w:val="006429DA"/>
    <w:rsid w:val="0064589F"/>
    <w:rsid w:val="00652196"/>
    <w:rsid w:val="00656610"/>
    <w:rsid w:val="00657CE3"/>
    <w:rsid w:val="006658EF"/>
    <w:rsid w:val="0066628E"/>
    <w:rsid w:val="006822AF"/>
    <w:rsid w:val="00691394"/>
    <w:rsid w:val="006E44F6"/>
    <w:rsid w:val="006F5BAA"/>
    <w:rsid w:val="00714A31"/>
    <w:rsid w:val="00730AF6"/>
    <w:rsid w:val="007358B8"/>
    <w:rsid w:val="007433D1"/>
    <w:rsid w:val="0075776F"/>
    <w:rsid w:val="00763B3E"/>
    <w:rsid w:val="00767590"/>
    <w:rsid w:val="0077413D"/>
    <w:rsid w:val="007B5138"/>
    <w:rsid w:val="007E1FA0"/>
    <w:rsid w:val="007E45AA"/>
    <w:rsid w:val="007E4B13"/>
    <w:rsid w:val="00802901"/>
    <w:rsid w:val="008055AA"/>
    <w:rsid w:val="008171C8"/>
    <w:rsid w:val="00823EAA"/>
    <w:rsid w:val="008328CC"/>
    <w:rsid w:val="008328D0"/>
    <w:rsid w:val="0086441D"/>
    <w:rsid w:val="008714C3"/>
    <w:rsid w:val="008764CF"/>
    <w:rsid w:val="00877FD5"/>
    <w:rsid w:val="00882793"/>
    <w:rsid w:val="0088595F"/>
    <w:rsid w:val="008C1254"/>
    <w:rsid w:val="008C43E2"/>
    <w:rsid w:val="008D3823"/>
    <w:rsid w:val="008E0B09"/>
    <w:rsid w:val="008E7A63"/>
    <w:rsid w:val="008E7CA1"/>
    <w:rsid w:val="008F1174"/>
    <w:rsid w:val="008F211F"/>
    <w:rsid w:val="008F46F3"/>
    <w:rsid w:val="00912ACB"/>
    <w:rsid w:val="00913DE2"/>
    <w:rsid w:val="009251CA"/>
    <w:rsid w:val="00937176"/>
    <w:rsid w:val="00941C44"/>
    <w:rsid w:val="00942FF1"/>
    <w:rsid w:val="0095133C"/>
    <w:rsid w:val="00967CF0"/>
    <w:rsid w:val="0098362A"/>
    <w:rsid w:val="009A5284"/>
    <w:rsid w:val="009C0A88"/>
    <w:rsid w:val="009C7463"/>
    <w:rsid w:val="009D5ABA"/>
    <w:rsid w:val="009D7CA7"/>
    <w:rsid w:val="00A01A2A"/>
    <w:rsid w:val="00A10688"/>
    <w:rsid w:val="00A257DE"/>
    <w:rsid w:val="00A25D38"/>
    <w:rsid w:val="00A33606"/>
    <w:rsid w:val="00A44A54"/>
    <w:rsid w:val="00A67771"/>
    <w:rsid w:val="00A7168F"/>
    <w:rsid w:val="00A735EA"/>
    <w:rsid w:val="00A827A9"/>
    <w:rsid w:val="00A85858"/>
    <w:rsid w:val="00A91797"/>
    <w:rsid w:val="00AA0EBF"/>
    <w:rsid w:val="00AC157D"/>
    <w:rsid w:val="00AE0900"/>
    <w:rsid w:val="00AE4E25"/>
    <w:rsid w:val="00B0385D"/>
    <w:rsid w:val="00B039F5"/>
    <w:rsid w:val="00B10391"/>
    <w:rsid w:val="00B128A1"/>
    <w:rsid w:val="00B26513"/>
    <w:rsid w:val="00B55AF8"/>
    <w:rsid w:val="00B570DA"/>
    <w:rsid w:val="00B71D07"/>
    <w:rsid w:val="00BA6296"/>
    <w:rsid w:val="00BB12BD"/>
    <w:rsid w:val="00BB3522"/>
    <w:rsid w:val="00BC5AD0"/>
    <w:rsid w:val="00BD18C8"/>
    <w:rsid w:val="00BE146D"/>
    <w:rsid w:val="00BE2C27"/>
    <w:rsid w:val="00BE2EFA"/>
    <w:rsid w:val="00C0699D"/>
    <w:rsid w:val="00C16B1E"/>
    <w:rsid w:val="00C17891"/>
    <w:rsid w:val="00C25311"/>
    <w:rsid w:val="00C45CB4"/>
    <w:rsid w:val="00C46382"/>
    <w:rsid w:val="00C51D0E"/>
    <w:rsid w:val="00C545F7"/>
    <w:rsid w:val="00C54854"/>
    <w:rsid w:val="00C72B17"/>
    <w:rsid w:val="00C94DC3"/>
    <w:rsid w:val="00CC1B21"/>
    <w:rsid w:val="00CD0E3E"/>
    <w:rsid w:val="00CD3899"/>
    <w:rsid w:val="00CD3EBD"/>
    <w:rsid w:val="00CE1A9D"/>
    <w:rsid w:val="00CF087A"/>
    <w:rsid w:val="00D0365C"/>
    <w:rsid w:val="00D03A09"/>
    <w:rsid w:val="00D1188A"/>
    <w:rsid w:val="00D12156"/>
    <w:rsid w:val="00D137E7"/>
    <w:rsid w:val="00D218B5"/>
    <w:rsid w:val="00D24B36"/>
    <w:rsid w:val="00D62224"/>
    <w:rsid w:val="00D62F18"/>
    <w:rsid w:val="00D6687C"/>
    <w:rsid w:val="00D6690D"/>
    <w:rsid w:val="00D94495"/>
    <w:rsid w:val="00DB1265"/>
    <w:rsid w:val="00DC338F"/>
    <w:rsid w:val="00DC701E"/>
    <w:rsid w:val="00DD0C06"/>
    <w:rsid w:val="00DD11AC"/>
    <w:rsid w:val="00DE2EDB"/>
    <w:rsid w:val="00E00B56"/>
    <w:rsid w:val="00E21315"/>
    <w:rsid w:val="00E25786"/>
    <w:rsid w:val="00E35D04"/>
    <w:rsid w:val="00E44044"/>
    <w:rsid w:val="00E54E0C"/>
    <w:rsid w:val="00E64F69"/>
    <w:rsid w:val="00E80583"/>
    <w:rsid w:val="00E83249"/>
    <w:rsid w:val="00EC4117"/>
    <w:rsid w:val="00EF6A7C"/>
    <w:rsid w:val="00F03413"/>
    <w:rsid w:val="00F251A4"/>
    <w:rsid w:val="00F35A81"/>
    <w:rsid w:val="00F43792"/>
    <w:rsid w:val="00F62E80"/>
    <w:rsid w:val="00F72100"/>
    <w:rsid w:val="00F8117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51D3A"/>
  <w14:defaultImageDpi w14:val="300"/>
  <w15:docId w15:val="{1B6BEC97-1605-CA4E-B093-892CF56CA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65C"/>
  </w:style>
  <w:style w:type="paragraph" w:styleId="Titre1">
    <w:name w:val="heading 1"/>
    <w:basedOn w:val="Normal"/>
    <w:next w:val="Normal"/>
    <w:link w:val="Titre1Car"/>
    <w:uiPriority w:val="9"/>
    <w:qFormat/>
    <w:rsid w:val="00D0365C"/>
    <w:pPr>
      <w:keepNext/>
      <w:keepLines/>
      <w:spacing w:after="60"/>
      <w:outlineLvl w:val="0"/>
    </w:pPr>
    <w:rPr>
      <w:rFonts w:asciiTheme="majorHAnsi" w:eastAsia="MS Gothic" w:hAnsiTheme="majorHAnsi" w:cstheme="majorBidi"/>
      <w:b/>
      <w:bCs/>
      <w:color w:val="365F91" w:themeColor="accent1" w:themeShade="BF"/>
      <w:sz w:val="28"/>
      <w:szCs w:val="28"/>
      <w:lang w:val="fr-CH" w:eastAsia="fr-CH"/>
    </w:rPr>
  </w:style>
  <w:style w:type="paragraph" w:styleId="Titre2">
    <w:name w:val="heading 2"/>
    <w:basedOn w:val="Normal"/>
    <w:next w:val="Normal"/>
    <w:link w:val="Titre2Car"/>
    <w:uiPriority w:val="9"/>
    <w:unhideWhenUsed/>
    <w:qFormat/>
    <w:rsid w:val="00D0365C"/>
    <w:pPr>
      <w:keepNext/>
      <w:keepLines/>
      <w:spacing w:before="120" w:line="276" w:lineRule="auto"/>
      <w:outlineLvl w:val="1"/>
    </w:pPr>
    <w:rPr>
      <w:rFonts w:asciiTheme="majorHAnsi" w:eastAsiaTheme="majorEastAsia" w:hAnsiTheme="majorHAnsi" w:cstheme="majorBidi"/>
      <w:b/>
      <w:bCs/>
      <w:color w:val="365F91" w:themeColor="accent1" w:themeShade="BF"/>
      <w:sz w:val="26"/>
      <w:szCs w:val="26"/>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365C"/>
    <w:rPr>
      <w:rFonts w:asciiTheme="majorHAnsi" w:eastAsia="MS Gothic" w:hAnsiTheme="majorHAnsi" w:cstheme="majorBidi"/>
      <w:b/>
      <w:bCs/>
      <w:color w:val="365F91" w:themeColor="accent1" w:themeShade="BF"/>
      <w:sz w:val="28"/>
      <w:szCs w:val="28"/>
      <w:lang w:val="fr-CH" w:eastAsia="fr-CH"/>
    </w:rPr>
  </w:style>
  <w:style w:type="character" w:customStyle="1" w:styleId="Titre2Car">
    <w:name w:val="Titre 2 Car"/>
    <w:basedOn w:val="Policepardfaut"/>
    <w:link w:val="Titre2"/>
    <w:uiPriority w:val="9"/>
    <w:rsid w:val="00D0365C"/>
    <w:rPr>
      <w:rFonts w:asciiTheme="majorHAnsi" w:eastAsiaTheme="majorEastAsia" w:hAnsiTheme="majorHAnsi" w:cstheme="majorBidi"/>
      <w:b/>
      <w:bCs/>
      <w:color w:val="365F91" w:themeColor="accent1" w:themeShade="BF"/>
      <w:sz w:val="26"/>
      <w:szCs w:val="26"/>
      <w:lang w:val="en-US" w:eastAsia="en-US"/>
    </w:rPr>
  </w:style>
  <w:style w:type="paragraph" w:styleId="Paragraphedeliste">
    <w:name w:val="List Paragraph"/>
    <w:basedOn w:val="Normal"/>
    <w:uiPriority w:val="34"/>
    <w:qFormat/>
    <w:rsid w:val="00D0365C"/>
    <w:pPr>
      <w:ind w:left="720"/>
      <w:contextualSpacing/>
    </w:pPr>
  </w:style>
  <w:style w:type="paragraph" w:styleId="En-tte">
    <w:name w:val="header"/>
    <w:basedOn w:val="Normal"/>
    <w:link w:val="En-tteCar"/>
    <w:uiPriority w:val="99"/>
    <w:unhideWhenUsed/>
    <w:rsid w:val="00D0365C"/>
    <w:pPr>
      <w:tabs>
        <w:tab w:val="center" w:pos="4536"/>
        <w:tab w:val="right" w:pos="9072"/>
      </w:tabs>
    </w:pPr>
  </w:style>
  <w:style w:type="character" w:customStyle="1" w:styleId="En-tteCar">
    <w:name w:val="En-tête Car"/>
    <w:basedOn w:val="Policepardfaut"/>
    <w:link w:val="En-tte"/>
    <w:uiPriority w:val="99"/>
    <w:rsid w:val="00D0365C"/>
  </w:style>
  <w:style w:type="paragraph" w:styleId="Pieddepage">
    <w:name w:val="footer"/>
    <w:basedOn w:val="Normal"/>
    <w:link w:val="PieddepageCar"/>
    <w:uiPriority w:val="99"/>
    <w:unhideWhenUsed/>
    <w:rsid w:val="00D0365C"/>
    <w:pPr>
      <w:tabs>
        <w:tab w:val="center" w:pos="4536"/>
        <w:tab w:val="right" w:pos="9072"/>
      </w:tabs>
    </w:pPr>
  </w:style>
  <w:style w:type="character" w:customStyle="1" w:styleId="PieddepageCar">
    <w:name w:val="Pied de page Car"/>
    <w:basedOn w:val="Policepardfaut"/>
    <w:link w:val="Pieddepage"/>
    <w:uiPriority w:val="99"/>
    <w:rsid w:val="00D0365C"/>
  </w:style>
  <w:style w:type="paragraph" w:styleId="Notedebasdepage">
    <w:name w:val="footnote text"/>
    <w:basedOn w:val="Normal"/>
    <w:link w:val="NotedebasdepageCar"/>
    <w:uiPriority w:val="99"/>
    <w:semiHidden/>
    <w:unhideWhenUsed/>
    <w:rsid w:val="00D0365C"/>
    <w:rPr>
      <w:sz w:val="20"/>
      <w:szCs w:val="20"/>
    </w:rPr>
  </w:style>
  <w:style w:type="character" w:customStyle="1" w:styleId="NotedebasdepageCar">
    <w:name w:val="Note de bas de page Car"/>
    <w:basedOn w:val="Policepardfaut"/>
    <w:link w:val="Notedebasdepage"/>
    <w:uiPriority w:val="99"/>
    <w:semiHidden/>
    <w:rsid w:val="00D0365C"/>
    <w:rPr>
      <w:sz w:val="20"/>
      <w:szCs w:val="20"/>
    </w:rPr>
  </w:style>
  <w:style w:type="character" w:styleId="Appelnotedebasdep">
    <w:name w:val="footnote reference"/>
    <w:basedOn w:val="Policepardfaut"/>
    <w:uiPriority w:val="99"/>
    <w:semiHidden/>
    <w:unhideWhenUsed/>
    <w:rsid w:val="00D0365C"/>
    <w:rPr>
      <w:vertAlign w:val="superscript"/>
    </w:rPr>
  </w:style>
  <w:style w:type="paragraph" w:customStyle="1" w:styleId="EndNoteBibliographyTitle">
    <w:name w:val="EndNote Bibliography Title"/>
    <w:basedOn w:val="Normal"/>
    <w:link w:val="EndNoteBibliographyTitleCar"/>
    <w:rsid w:val="00D0365C"/>
    <w:pPr>
      <w:jc w:val="center"/>
    </w:pPr>
    <w:rPr>
      <w:rFonts w:ascii="Cambria" w:hAnsi="Cambria"/>
      <w:noProof/>
    </w:rPr>
  </w:style>
  <w:style w:type="character" w:customStyle="1" w:styleId="EndNoteBibliographyTitleCar">
    <w:name w:val="EndNote Bibliography Title Car"/>
    <w:basedOn w:val="Policepardfaut"/>
    <w:link w:val="EndNoteBibliographyTitle"/>
    <w:rsid w:val="00D0365C"/>
    <w:rPr>
      <w:rFonts w:ascii="Cambria" w:hAnsi="Cambria"/>
      <w:noProof/>
    </w:rPr>
  </w:style>
  <w:style w:type="paragraph" w:customStyle="1" w:styleId="EndNoteBibliography">
    <w:name w:val="EndNote Bibliography"/>
    <w:basedOn w:val="Normal"/>
    <w:link w:val="EndNoteBibliographyCar"/>
    <w:rsid w:val="00D0365C"/>
    <w:pPr>
      <w:jc w:val="both"/>
    </w:pPr>
    <w:rPr>
      <w:rFonts w:ascii="Cambria" w:hAnsi="Cambria"/>
      <w:noProof/>
    </w:rPr>
  </w:style>
  <w:style w:type="character" w:customStyle="1" w:styleId="EndNoteBibliographyCar">
    <w:name w:val="EndNote Bibliography Car"/>
    <w:basedOn w:val="Policepardfaut"/>
    <w:link w:val="EndNoteBibliography"/>
    <w:rsid w:val="00D0365C"/>
    <w:rPr>
      <w:rFonts w:ascii="Cambria" w:hAnsi="Cambria"/>
      <w:noProof/>
    </w:rPr>
  </w:style>
  <w:style w:type="character" w:styleId="Lienhypertexte">
    <w:name w:val="Hyperlink"/>
    <w:basedOn w:val="Policepardfaut"/>
    <w:uiPriority w:val="99"/>
    <w:unhideWhenUsed/>
    <w:rsid w:val="00D0365C"/>
    <w:rPr>
      <w:color w:val="0000FF"/>
      <w:u w:val="single"/>
    </w:rPr>
  </w:style>
  <w:style w:type="paragraph" w:styleId="Lgende">
    <w:name w:val="caption"/>
    <w:basedOn w:val="Normal"/>
    <w:next w:val="Normal"/>
    <w:uiPriority w:val="35"/>
    <w:unhideWhenUsed/>
    <w:qFormat/>
    <w:rsid w:val="00D0365C"/>
    <w:pPr>
      <w:spacing w:after="200"/>
    </w:pPr>
    <w:rPr>
      <w:i/>
      <w:iCs/>
      <w:color w:val="1F497D" w:themeColor="text2"/>
      <w:sz w:val="18"/>
      <w:szCs w:val="18"/>
    </w:rPr>
  </w:style>
  <w:style w:type="table" w:styleId="Grilledutableau">
    <w:name w:val="Table Grid"/>
    <w:basedOn w:val="TableauNormal"/>
    <w:uiPriority w:val="39"/>
    <w:rsid w:val="00D0365C"/>
    <w:rPr>
      <w:rFonts w:eastAsiaTheme="minorHAnsi"/>
      <w:sz w:val="22"/>
      <w:szCs w:val="22"/>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basedOn w:val="Policepardfaut"/>
    <w:link w:val="Textedebulles"/>
    <w:uiPriority w:val="99"/>
    <w:semiHidden/>
    <w:rsid w:val="00D0365C"/>
    <w:rPr>
      <w:rFonts w:ascii="Segoe UI" w:eastAsiaTheme="minorHAnsi" w:hAnsi="Segoe UI" w:cs="Segoe UI"/>
      <w:sz w:val="18"/>
      <w:szCs w:val="18"/>
      <w:lang w:val="fr-CH" w:eastAsia="en-US"/>
    </w:rPr>
  </w:style>
  <w:style w:type="paragraph" w:styleId="Textedebulles">
    <w:name w:val="Balloon Text"/>
    <w:basedOn w:val="Normal"/>
    <w:link w:val="TextedebullesCar"/>
    <w:uiPriority w:val="99"/>
    <w:semiHidden/>
    <w:unhideWhenUsed/>
    <w:rsid w:val="00D0365C"/>
    <w:rPr>
      <w:rFonts w:ascii="Segoe UI" w:eastAsiaTheme="minorHAnsi" w:hAnsi="Segoe UI" w:cs="Segoe UI"/>
      <w:sz w:val="18"/>
      <w:szCs w:val="18"/>
      <w:lang w:val="fr-CH" w:eastAsia="en-US"/>
    </w:rPr>
  </w:style>
  <w:style w:type="table" w:customStyle="1" w:styleId="Tableausimple11">
    <w:name w:val="Tableau simple 11"/>
    <w:basedOn w:val="TableauNormal"/>
    <w:uiPriority w:val="41"/>
    <w:rsid w:val="00D0365C"/>
    <w:rPr>
      <w:rFonts w:eastAsiaTheme="minorHAnsi"/>
      <w:sz w:val="22"/>
      <w:szCs w:val="22"/>
      <w:lang w:val="fr-CH"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Grille41">
    <w:name w:val="Tableau Grille 41"/>
    <w:basedOn w:val="TableauNormal"/>
    <w:uiPriority w:val="49"/>
    <w:rsid w:val="00D0365C"/>
    <w:rPr>
      <w:rFonts w:eastAsiaTheme="minorHAnsi"/>
      <w:sz w:val="22"/>
      <w:szCs w:val="22"/>
      <w:lang w:val="fr-CH"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ommentaireCar">
    <w:name w:val="Commentaire Car"/>
    <w:basedOn w:val="Policepardfaut"/>
    <w:link w:val="Commentaire"/>
    <w:uiPriority w:val="99"/>
    <w:semiHidden/>
    <w:rsid w:val="00D0365C"/>
    <w:rPr>
      <w:sz w:val="20"/>
      <w:szCs w:val="20"/>
    </w:rPr>
  </w:style>
  <w:style w:type="paragraph" w:styleId="Commentaire">
    <w:name w:val="annotation text"/>
    <w:basedOn w:val="Normal"/>
    <w:link w:val="CommentaireCar"/>
    <w:uiPriority w:val="99"/>
    <w:semiHidden/>
    <w:unhideWhenUsed/>
    <w:rsid w:val="00D0365C"/>
    <w:rPr>
      <w:sz w:val="20"/>
      <w:szCs w:val="20"/>
    </w:rPr>
  </w:style>
  <w:style w:type="character" w:customStyle="1" w:styleId="ObjetducommentaireCar">
    <w:name w:val="Objet du commentaire Car"/>
    <w:basedOn w:val="CommentaireCar"/>
    <w:link w:val="Objetducommentaire"/>
    <w:uiPriority w:val="99"/>
    <w:semiHidden/>
    <w:rsid w:val="00D0365C"/>
    <w:rPr>
      <w:b/>
      <w:bCs/>
      <w:sz w:val="20"/>
      <w:szCs w:val="20"/>
    </w:rPr>
  </w:style>
  <w:style w:type="paragraph" w:styleId="Objetducommentaire">
    <w:name w:val="annotation subject"/>
    <w:basedOn w:val="Commentaire"/>
    <w:next w:val="Commentaire"/>
    <w:link w:val="ObjetducommentaireCar"/>
    <w:uiPriority w:val="99"/>
    <w:semiHidden/>
    <w:unhideWhenUsed/>
    <w:rsid w:val="00D0365C"/>
    <w:rPr>
      <w:b/>
      <w:bCs/>
    </w:rPr>
  </w:style>
  <w:style w:type="paragraph" w:styleId="Sansinterligne">
    <w:name w:val="No Spacing"/>
    <w:link w:val="SansinterligneCar"/>
    <w:uiPriority w:val="1"/>
    <w:qFormat/>
    <w:rsid w:val="00D0365C"/>
  </w:style>
  <w:style w:type="character" w:customStyle="1" w:styleId="SansinterligneCar">
    <w:name w:val="Sans interligne Car"/>
    <w:basedOn w:val="Policepardfaut"/>
    <w:link w:val="Sansinterligne"/>
    <w:uiPriority w:val="1"/>
    <w:rsid w:val="00D0365C"/>
  </w:style>
  <w:style w:type="table" w:customStyle="1" w:styleId="TableauGrille411">
    <w:name w:val="Tableau Grille 411"/>
    <w:basedOn w:val="TableauNormal"/>
    <w:uiPriority w:val="49"/>
    <w:rsid w:val="00D0365C"/>
    <w:rPr>
      <w:rFonts w:eastAsia="Calibri"/>
      <w:sz w:val="22"/>
      <w:szCs w:val="22"/>
      <w:lang w:val="fr-CH"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ExplorateurdedocumentsCar">
    <w:name w:val="Explorateur de documents Car"/>
    <w:basedOn w:val="Policepardfaut"/>
    <w:link w:val="Explorateurdedocuments"/>
    <w:uiPriority w:val="99"/>
    <w:semiHidden/>
    <w:rsid w:val="00D0365C"/>
    <w:rPr>
      <w:rFonts w:ascii="Times New Roman" w:hAnsi="Times New Roman" w:cs="Times New Roman"/>
    </w:rPr>
  </w:style>
  <w:style w:type="paragraph" w:styleId="Explorateurdedocuments">
    <w:name w:val="Document Map"/>
    <w:basedOn w:val="Normal"/>
    <w:link w:val="ExplorateurdedocumentsCar"/>
    <w:uiPriority w:val="99"/>
    <w:semiHidden/>
    <w:unhideWhenUsed/>
    <w:rsid w:val="00D0365C"/>
    <w:rPr>
      <w:rFonts w:ascii="Times New Roman" w:hAnsi="Times New Roman" w:cs="Times New Roman"/>
    </w:rPr>
  </w:style>
  <w:style w:type="table" w:customStyle="1" w:styleId="TableauGrille4111">
    <w:name w:val="Tableau Grille 4111"/>
    <w:basedOn w:val="TableauNormal"/>
    <w:uiPriority w:val="49"/>
    <w:rsid w:val="00D0365C"/>
    <w:rPr>
      <w:rFonts w:eastAsia="Calibri"/>
      <w:sz w:val="22"/>
      <w:szCs w:val="22"/>
      <w:lang w:val="fr-CH"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4112">
    <w:name w:val="Tableau Grille 4112"/>
    <w:basedOn w:val="TableauNormal"/>
    <w:uiPriority w:val="49"/>
    <w:rsid w:val="00D0365C"/>
    <w:rPr>
      <w:rFonts w:eastAsia="Calibri"/>
      <w:sz w:val="22"/>
      <w:szCs w:val="22"/>
      <w:lang w:val="fr-CH"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412">
    <w:name w:val="Tableau Grille 412"/>
    <w:basedOn w:val="TableauNormal"/>
    <w:uiPriority w:val="49"/>
    <w:rsid w:val="00D0365C"/>
    <w:rPr>
      <w:rFonts w:eastAsiaTheme="minorHAnsi"/>
      <w:sz w:val="22"/>
      <w:szCs w:val="22"/>
      <w:lang w:val="fr-CH"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M1">
    <w:name w:val="toc 1"/>
    <w:basedOn w:val="Normal"/>
    <w:next w:val="Normal"/>
    <w:autoRedefine/>
    <w:uiPriority w:val="39"/>
    <w:unhideWhenUsed/>
    <w:rsid w:val="00D0365C"/>
    <w:pPr>
      <w:spacing w:before="120" w:line="276" w:lineRule="auto"/>
    </w:pPr>
    <w:rPr>
      <w:rFonts w:asciiTheme="majorHAnsi" w:eastAsiaTheme="minorHAnsi" w:hAnsiTheme="majorHAnsi"/>
      <w:b/>
      <w:bCs/>
      <w:sz w:val="22"/>
      <w:szCs w:val="22"/>
      <w:lang w:val="en-US" w:eastAsia="en-US"/>
    </w:rPr>
  </w:style>
  <w:style w:type="paragraph" w:styleId="TM2">
    <w:name w:val="toc 2"/>
    <w:basedOn w:val="Normal"/>
    <w:next w:val="Normal"/>
    <w:autoRedefine/>
    <w:uiPriority w:val="39"/>
    <w:unhideWhenUsed/>
    <w:rsid w:val="00D0365C"/>
    <w:pPr>
      <w:spacing w:line="276" w:lineRule="auto"/>
      <w:ind w:left="220"/>
    </w:pPr>
    <w:rPr>
      <w:rFonts w:asciiTheme="majorHAnsi" w:eastAsiaTheme="minorHAnsi" w:hAnsiTheme="majorHAnsi"/>
      <w:i/>
      <w:iCs/>
      <w:sz w:val="22"/>
      <w:szCs w:val="22"/>
      <w:lang w:val="en-US" w:eastAsia="en-US"/>
    </w:rPr>
  </w:style>
  <w:style w:type="table" w:customStyle="1" w:styleId="Grilledetableauclaire1">
    <w:name w:val="Grille de tableau claire1"/>
    <w:basedOn w:val="TableauNormal"/>
    <w:uiPriority w:val="40"/>
    <w:rsid w:val="00D0365C"/>
    <w:rPr>
      <w:rFonts w:eastAsiaTheme="minorHAns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BB12BD"/>
    <w:rPr>
      <w:sz w:val="18"/>
      <w:szCs w:val="18"/>
    </w:rPr>
  </w:style>
  <w:style w:type="paragraph" w:styleId="Rvision">
    <w:name w:val="Revision"/>
    <w:hidden/>
    <w:uiPriority w:val="99"/>
    <w:semiHidden/>
    <w:rsid w:val="000B5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ED9ED-F273-2D4B-BB91-E466CACE1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3131</Words>
  <Characters>18192</Characters>
  <Application>Microsoft Office Word</Application>
  <DocSecurity>0</DocSecurity>
  <Lines>423</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Morisod</dc:creator>
  <cp:keywords/>
  <dc:description/>
  <cp:lastModifiedBy>Microsoft Office User</cp:lastModifiedBy>
  <cp:revision>2</cp:revision>
  <dcterms:created xsi:type="dcterms:W3CDTF">2021-01-13T23:11:00Z</dcterms:created>
  <dcterms:modified xsi:type="dcterms:W3CDTF">2021-01-13T23:11:00Z</dcterms:modified>
</cp:coreProperties>
</file>